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29.png" ContentType="image/png"/>
  <Override PartName="/word/media/rId35.png" ContentType="image/png"/>
  <Override PartName="/word/media/rId44.png" ContentType="image/png"/>
  <Override PartName="/word/media/rId26.png" ContentType="image/png"/>
  <Override PartName="/word/media/rId4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Arquitetura química e confiabilidade de geotêxteis lignocelulósicos sob análise de desempenho, degradação e modelagem probabilística</w:t>
      </w:r>
    </w:p>
    <w:p>
      <w:pPr>
        <w:pStyle w:val="Author"/>
      </w:pPr>
      <w:r>
        <w:t xml:space="preserve">Diego Vidal</w:t>
      </w:r>
    </w:p>
    <w:bookmarkStart w:id="17" w:name="resumo"/>
    <w:p>
      <w:pPr>
        <w:pStyle w:val="Ttulo2"/>
      </w:pPr>
      <w:r>
        <w:t xml:space="preserve">Resumo</w:t>
      </w:r>
    </w:p>
    <w:p>
      <w:pPr>
        <w:pStyle w:val="FirstParagraph"/>
      </w:pPr>
      <w:r>
        <w:t xml:space="preserve">A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6%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ductilidade,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hifas e acúmulo de carbono orgânico, com co-benefícios de retenção hídrica e rápido enraizamento. Os geotêxteis naturais com engenharia de superfície e projeto por confiabilidade Weibull (</w:t>
      </w:r>
      <m:oMath>
        <m:sSub>
          <m:e>
            <m:r>
              <m:t>P</m:t>
            </m:r>
          </m:e>
          <m:sub>
            <m:r>
              <m:t>10</m:t>
            </m:r>
          </m:sub>
        </m:sSub>
      </m:oMath>
      <w:r>
        <w:t xml:space="preserve">) alcançam desempenho mecânico suficiente na janela de 90–150 dias, reduzem externalidades ambientais e habilitam a substituição de geossintéticos fósseis em bioengenharia de solos tropicais.</w:t>
      </w:r>
    </w:p>
    <w:p>
      <w:pPr>
        <w:pStyle w:val="Corpodetexto"/>
      </w:pPr>
      <w:r>
        <w:rPr>
          <w:b/>
          <w:bCs/>
        </w:rPr>
        <w:t xml:space="preserve">Palavras-chave</w:t>
      </w:r>
      <w:r>
        <w:t xml:space="preserve">: Biotêxteis; bioengenharia de solos; Vida Útil Funcional; morfometria quantitativa.</w:t>
      </w:r>
    </w:p>
    <w:bookmarkEnd w:id="17"/>
    <w:bookmarkStart w:id="19" w:name="introdução"/>
    <w:p>
      <w:pPr>
        <w:pStyle w:val="Ttulo2"/>
      </w:pPr>
      <w:r>
        <w:t xml:space="preserve">1. Introdução</w:t>
      </w:r>
    </w:p>
    <w:bookmarkStart w:id="18" w:name="Xe14f3eb3a5820aafaff1853eb69c8331627ae76"/>
    <w:p>
      <w:pPr>
        <w:pStyle w:val="Ttulo3"/>
      </w:pPr>
      <w:r>
        <w:t xml:space="preserve">1.1. A necessidade imperativa da bioengenharia sustentável do solo</w:t>
      </w:r>
    </w:p>
    <w:p>
      <w:pPr>
        <w:pStyle w:val="FirstParagraph"/>
      </w:pPr>
      <w:r>
        <w:t xml:space="preserve">A degradação do solo em regiões tropicais opera através de mecanismos distintos daqueles observados em contextos temperados. Segundo</w:t>
      </w:r>
      <w:r>
        <w:t xml:space="preserve"> </w:t>
      </w:r>
      <w:r>
        <w:t xml:space="preserve">Brady &amp; Weil (2009)</w:t>
      </w:r>
      <w:r>
        <w:t xml:space="preserve">, regimes de precipitação elevada conjugados com Oxissolos intemperizados e mineralização acelerada de matéria orgânica sob temperaturas elevadas resultam em taxas de perda excedendo nos biomas Caatinga e Cerrado, conforme documentado por</w:t>
      </w:r>
      <w:r>
        <w:t xml:space="preserve"> </w:t>
      </w:r>
      <w:r>
        <w:t xml:space="preserve">Lammel et al. (2015)</w:t>
      </w:r>
      <w:r>
        <w:t xml:space="preserve">, representando depleção biogeoquímica que compromete tanto matriz física quanto reservatórios nutricionais essenciais à produtividade agrícola</w:t>
      </w:r>
      <w:r>
        <w:t xml:space="preserve"> </w:t>
      </w:r>
      <w:r>
        <w:t xml:space="preserve">(I. M. Cardoso &amp; Kuyper, 2006)</w:t>
      </w:r>
      <w:r>
        <w:t xml:space="preserve">. A predominância de minerais argilosos 1:1 na pedogênese tropical, conjugada com baixo teor de carbono orgânico do solo (&lt;1,5% nos horizontes superficiais), produz solos de mínima coesão estrutural.</w:t>
      </w:r>
      <w:r>
        <w:t xml:space="preserve"> </w:t>
      </w:r>
      <w:r>
        <w:t xml:space="preserve">Brady &amp; Weil (2009)</w:t>
      </w:r>
      <w:r>
        <w:t xml:space="preserve"> </w:t>
      </w:r>
      <w:r>
        <w:t xml:space="preserve">e</w:t>
      </w:r>
      <w:r>
        <w:t xml:space="preserve"> </w:t>
      </w:r>
      <w:r>
        <w:t xml:space="preserve">Bispo et al. (2017)</w:t>
      </w:r>
      <w:r>
        <w:t xml:space="preserve"> </w:t>
      </w:r>
      <w:r>
        <w:t xml:space="preserve">demonstraram que essa estrutura debilitada torna os solos vulneráveis à erosão por impacto de gotas de chuva e transporte laminar durante tempestades convectivas.</w:t>
      </w:r>
    </w:p>
    <w:p>
      <w:pPr>
        <w:pStyle w:val="Corpodetexto"/>
      </w:pPr>
      <w:r>
        <w:t xml:space="preserve">A resistência ao cisalhamento do solo não coeso, quantificada pelo ângulo de atrito interno efetivo dependente de granulometria e densidade</w:t>
      </w:r>
      <w:r>
        <w:t xml:space="preserve"> </w:t>
      </w:r>
      <w:r>
        <w:t xml:space="preserve">(Veylon et al., 2015; T. H. Wu et al., 1979)</w:t>
      </w:r>
      <w:r>
        <w:t xml:space="preserve">, torna-se particularmente deficiente em Neossolos Quartzarênicos de margens fluviais tropicais. Trabalhando com esses solos,</w:t>
      </w:r>
      <w:r>
        <w:t xml:space="preserve"> </w:t>
      </w:r>
      <w:r>
        <w:t xml:space="preserve">Mahannopkul &amp; Jotisankasa (2019)</w:t>
      </w:r>
      <w:r>
        <w:t xml:space="preserve"> </w:t>
      </w:r>
      <w:r>
        <w:t xml:space="preserve">caracterizaram sua baixa coesão, alta porosidade e resistência mecânica limitada. Essa vulnerabilidade geotécnica manifesta-se de forma crítica em taludes com inclinação superior a 25°, onde o fator de segurança frequentemente permanece inferior a 1,0. Conforme observado por</w:t>
      </w:r>
      <w:r>
        <w:t xml:space="preserve"> </w:t>
      </w:r>
      <w:r>
        <w:t xml:space="preserve">Mahannopkul &amp; Jotisankasa (2019)</w:t>
      </w:r>
      <w:r>
        <w:t xml:space="preserve"> </w:t>
      </w:r>
      <w:r>
        <w:t xml:space="preserve">e</w:t>
      </w:r>
      <w:r>
        <w:t xml:space="preserve"> </w:t>
      </w:r>
      <w:r>
        <w:t xml:space="preserve">Islam &amp; Shahin (2013)</w:t>
      </w:r>
      <w:r>
        <w:t xml:space="preserve">, essa configuração resulta em instabilidade incipiente durante períodos chuvosos quando o aumento da pressão de poros reduz a tensão normal efetiva, precipitando falhas por escorregamento. Consequentemente,</w:t>
      </w:r>
      <w:r>
        <w:t xml:space="preserve"> </w:t>
      </w:r>
      <w:r>
        <w:t xml:space="preserve">Islam &amp; Shahin (2013)</w:t>
      </w:r>
      <w:r>
        <w:t xml:space="preserve"> </w:t>
      </w:r>
      <w:r>
        <w:t xml:space="preserve">demonstraram que a capacidade de carga admissível de fundações superficiais fica limitada a 50–100 kPa, restringindo drasticamente as opções de estruturas de reforço convencionais.</w:t>
      </w:r>
    </w:p>
    <w:p>
      <w:pPr>
        <w:pStyle w:val="Corpodetexto"/>
      </w:pPr>
      <w:r>
        <w:t xml:space="preserve">Essa vulnerabilidade geotécnica aumenta sob ação antrópica. Segundo</w:t>
      </w:r>
      <w:r>
        <w:t xml:space="preserve"> </w:t>
      </w:r>
      <w:r>
        <w:t xml:space="preserve">Borrelli et al. (2017)</w:t>
      </w:r>
      <w:r>
        <w:t xml:space="preserve">, a perda irreversível da camada superficial do solo, concentradora de fósforo e nitrogênio biodisponíveis, conjuga-se com eutrofização induzida pela sedimentação em ecossistemas fluviais a jusante, comprometendo a qualidade hídrica regional. Na região semiárida brasileira, a produção de sedimentos em encostas degradadas pode atingir 45 Mg·ha⁻¹ durante a estação chuvosa (aproximadamente 90 dias), excedendo a taxa pedogênica em duas ordens de magnitude, representando dissipação de séculos de ciclos biogeoquímicos sem perspectivas de restauração ecológica em escalas temporais humanas</w:t>
      </w:r>
      <w:r>
        <w:t xml:space="preserve"> </w:t>
      </w:r>
      <w:r>
        <w:t xml:space="preserve">Niu &amp; Nan (2017)</w:t>
      </w:r>
      <w:r>
        <w:t xml:space="preserve">.</w:t>
      </w:r>
    </w:p>
    <w:p>
      <w:pPr>
        <w:pStyle w:val="Corpodetexto"/>
      </w:pPr>
      <w:r>
        <w:t xml:space="preserve">Diante dessa realidade, respostas tecnológicas tradicionais recorreram predominantemente a geossintéticos derivados do petróleo. Conforme revisado por</w:t>
      </w:r>
      <w:r>
        <w:t xml:space="preserve"> </w:t>
      </w:r>
      <w:r>
        <w:t xml:space="preserve">Holanda et al. (2025b)</w:t>
      </w:r>
      <w:r>
        <w:t xml:space="preserve">, polipropileno, polietileno e tereftalato de polietileno caracterizam-se por alta resistência e estabilização UV mediante benzotriazol, consolidando dependência de matérias-primas não renováveis.</w:t>
      </w:r>
    </w:p>
    <w:p>
      <w:pPr>
        <w:pStyle w:val="Corpodetexto"/>
      </w:pPr>
      <w:r>
        <w:t xml:space="preserve">A durabilidade desses materiais revela-se através de três modos de falha. Ruptura por tensão excessiva ocorre com deformação plástica seguida de endurecimento por orientação molecular</w:t>
      </w:r>
      <w:r>
        <w:t xml:space="preserve"> </w:t>
      </w:r>
      <w:r>
        <w:t xml:space="preserve">(Carneiro et al., 2018)</w:t>
      </w:r>
      <w:r>
        <w:t xml:space="preserve">. Creep manifesta-se como deformação progressiva sob carga sustentada, resultando em perda gradual de funcionalidade ao longo de décadas</w:t>
      </w:r>
      <w:r>
        <w:t xml:space="preserve"> </w:t>
      </w:r>
      <w:r>
        <w:t xml:space="preserve">(Barreira-Pinto et al., 2023)</w:t>
      </w:r>
      <w:r>
        <w:t xml:space="preserve">. Degradação por radiação UV sob irradiância tropical (5–8 kWh·m⁻²·dia⁻¹, espectros 280–350 nm) reduz progressivamente a resistência à tração</w:t>
      </w:r>
      <w:r>
        <w:t xml:space="preserve"> </w:t>
      </w:r>
      <w:r>
        <w:t xml:space="preserve">(Carneiro &amp; Lopes, 2017; Franco et al., 2022)</w:t>
      </w:r>
      <w:r>
        <w:t xml:space="preserve">, conforme especificações ISO 10319 e ASTM D4595.</w:t>
      </w:r>
    </w:p>
    <w:p>
      <w:pPr>
        <w:pStyle w:val="Corpodetexto"/>
      </w:pPr>
      <w:r>
        <w:t xml:space="preserve">Esse paradigma revela contradição estrutural, visto que materiais concebidos para persistência multidecadal em aterros sanitários e sub-bases viárias apresentam uma vida útil projetada entre 30–50 anos</w:t>
      </w:r>
      <w:r>
        <w:t xml:space="preserve"> </w:t>
      </w:r>
      <w:r>
        <w:t xml:space="preserve">(Barreira-Pinto et al., 2023)</w:t>
      </w:r>
      <w:r>
        <w:t xml:space="preserve">, impondo passivos ambientais de longo prazo quando implantados em sistemas agroecológicos</w:t>
      </w:r>
      <w:r>
        <w:t xml:space="preserve"> </w:t>
      </w:r>
      <w:r>
        <w:t xml:space="preserve">(Bhatia et al., 2010)</w:t>
      </w:r>
      <w:r>
        <w:t xml:space="preserve">. Trabalhando com geotêxteis de polipropileno,</w:t>
      </w:r>
      <w:r>
        <w:t xml:space="preserve"> </w:t>
      </w:r>
      <w:r>
        <w:t xml:space="preserve">Ibáñez &amp; Mccarthy-Neumann (2014)</w:t>
      </w:r>
      <w:r>
        <w:t xml:space="preserve"> </w:t>
      </w:r>
      <w:r>
        <w:t xml:space="preserve">e</w:t>
      </w:r>
      <w:r>
        <w:t xml:space="preserve"> </w:t>
      </w:r>
      <w:r>
        <w:t xml:space="preserve">Konvalinková et al. (2015)</w:t>
      </w:r>
      <w:r>
        <w:t xml:space="preserve"> </w:t>
      </w:r>
      <w:r>
        <w:t xml:space="preserve">observaram alta recalcitrância sob condições anaeróbicas, com fragmentação mecânica gradual em microplásticos (&lt;5 mm) cuja infiltração nas teias tróficas edáficas compromete simbioses microbianas e provoca posterior rearranjo da microbiota do solo.</w:t>
      </w:r>
    </w:p>
    <w:p>
      <w:pPr>
        <w:pStyle w:val="Corpodetexto"/>
      </w:pPr>
      <w:r>
        <w:t xml:space="preserve">Bai et al. (2022)</w:t>
      </w:r>
      <w:r>
        <w:t xml:space="preserve"> </w:t>
      </w:r>
      <w:r>
        <w:t xml:space="preserve">quantificaram densidades médias de 349±137 partículas·kg⁻¹ em solos cobertos após exposição UV, com emissões anuais estimadas em milhares de toneladas para ambientes marinhos, evidenciando transferência trófica em ecossistemas terrestres e aquáticos adjacentes. Essa limitação dos materiais sintéticos torna a persistência temporária controlada um atributo funcional estratégico para aplicações em bioengenharia. Enquanto geotêxteis sintéticos resistem à biodegradação por décadas,</w:t>
      </w:r>
      <w:r>
        <w:t xml:space="preserve"> </w:t>
      </w:r>
      <w:r>
        <w:t xml:space="preserve">Chakravarthy et al. (2021)</w:t>
      </w:r>
      <w:r>
        <w:t xml:space="preserve"> </w:t>
      </w:r>
      <w:r>
        <w:t xml:space="preserve">e</w:t>
      </w:r>
      <w:r>
        <w:t xml:space="preserve"> </w:t>
      </w:r>
      <w:r>
        <w:t xml:space="preserve">Midha et al. (2017)</w:t>
      </w:r>
      <w:r>
        <w:t xml:space="preserve"> </w:t>
      </w:r>
      <w:r>
        <w:t xml:space="preserve">demonstraram que fibras lignocelulósicas apresentam degradação progressiva em 6–18 meses, compatível com estabelecimento de sistemas radiculares permanentes.</w:t>
      </w:r>
    </w:p>
    <w:p>
      <w:pPr>
        <w:pStyle w:val="Corpodetexto"/>
      </w:pPr>
      <w:r>
        <w:t xml:space="preserve">Estudos de durabilidade revelam que geotêxteis de fibras naturais tratadas com emulsões betuminosas mantêm 82–85% da resistência inicial após 90 dias de exposição edáfica</w:t>
      </w:r>
      <w:r>
        <w:t xml:space="preserve"> </w:t>
      </w:r>
      <w:r>
        <w:t xml:space="preserve">(Thakur et al., 2019)</w:t>
      </w:r>
      <w:r>
        <w:t xml:space="preserve">, evitando acúmulo de resíduos persistentes em agricultura sustentável. Geotêxteis de fibra natural apresentam inversão de paradigma ao explorar degradação programada como atributo funcional</w:t>
      </w:r>
      <w:r>
        <w:t xml:space="preserve"> </w:t>
      </w:r>
      <w:r>
        <w:t xml:space="preserve">(</w:t>
      </w:r>
      <w:r>
        <w:t xml:space="preserve">Pil et al.</w:t>
      </w:r>
      <w:r>
        <w:t xml:space="preserve">, 2022)</w:t>
      </w:r>
      <w:r>
        <w:t xml:space="preserve">. Segundo</w:t>
      </w:r>
      <w:r>
        <w:t xml:space="preserve"> </w:t>
      </w:r>
      <w:r>
        <w:t xml:space="preserve">Rodríguez et al.</w:t>
      </w:r>
      <w:r>
        <w:t xml:space="preserve"> </w:t>
      </w:r>
      <w:r>
        <w:t xml:space="preserve">(2023)</w:t>
      </w:r>
      <w:r>
        <w:t xml:space="preserve">, a composição lignocelulósica confere prazo de funcionalidade intrínseco governado por consórcios microbianos e estresse oxidativo ambiental, sincronizando-se com cinética de estabelecimento vegetativo herbáceo da bioengenharia do solo.</w:t>
      </w:r>
      <w:r>
        <w:t xml:space="preserve"> </w:t>
      </w:r>
      <w:r>
        <w:t xml:space="preserve">Almeida et al.</w:t>
      </w:r>
      <w:r>
        <w:t xml:space="preserve"> </w:t>
      </w:r>
      <w:r>
        <w:t xml:space="preserve">(2023)</w:t>
      </w:r>
      <w:r>
        <w:t xml:space="preserve"> </w:t>
      </w:r>
      <w:r>
        <w:t xml:space="preserve">e</w:t>
      </w:r>
      <w:r>
        <w:t xml:space="preserve"> </w:t>
      </w:r>
      <w:r>
        <w:t xml:space="preserve">R. Singh et al.</w:t>
      </w:r>
      <w:r>
        <w:t xml:space="preserve"> </w:t>
      </w:r>
      <w:r>
        <w:t xml:space="preserve">(2024)</w:t>
      </w:r>
      <w:r>
        <w:t xml:space="preserve"> </w:t>
      </w:r>
      <w:r>
        <w:t xml:space="preserve">demonstraram que redes radiculares atingem equivalência mecânica ao reforço sintético em 90–180 dias.</w:t>
      </w:r>
    </w:p>
    <w:p>
      <w:pPr>
        <w:pStyle w:val="Corpodetexto"/>
      </w:pPr>
      <w:r>
        <w:t xml:space="preserve">Ainda, trabalhando com ensaios longitudinais em</w:t>
      </w:r>
      <w:r>
        <w:t xml:space="preserve"> </w:t>
      </w:r>
      <w:r>
        <w:rPr>
          <w:i/>
          <w:iCs/>
        </w:rPr>
        <w:t xml:space="preserve">Typha domingensis</w:t>
      </w:r>
      <w:r>
        <w:t xml:space="preserve"> </w:t>
      </w:r>
      <w:r>
        <w:t xml:space="preserve">(taboa) e</w:t>
      </w:r>
      <w:r>
        <w:t xml:space="preserve"> </w:t>
      </w:r>
      <w:r>
        <w:rPr>
          <w:i/>
          <w:iCs/>
        </w:rPr>
        <w:t xml:space="preserve">Syagrus coronata</w:t>
      </w:r>
      <w:r>
        <w:t xml:space="preserve"> </w:t>
      </w:r>
      <w:r>
        <w:t xml:space="preserve">(palmeira-ouricuri) na bacia do Baixo Rio São Francisco,</w:t>
      </w:r>
      <w:r>
        <w:t xml:space="preserve"> </w:t>
      </w:r>
      <w:r>
        <w:t xml:space="preserve">Fontes et al. (2021)</w:t>
      </w:r>
      <w:r>
        <w:t xml:space="preserve">,</w:t>
      </w:r>
      <w:r>
        <w:t xml:space="preserve"> </w:t>
      </w:r>
      <w:r>
        <w:t xml:space="preserve">Holanda et al. (2025b)</w:t>
      </w:r>
      <w:r>
        <w:t xml:space="preserve"> </w:t>
      </w:r>
      <w:r>
        <w:t xml:space="preserve">e</w:t>
      </w:r>
      <w:r>
        <w:t xml:space="preserve"> </w:t>
      </w:r>
      <w:r>
        <w:t xml:space="preserve">L. D. V. Santos &amp; colaboradores</w:t>
      </w:r>
      <w:r>
        <w:t xml:space="preserve"> </w:t>
      </w:r>
      <w:r>
        <w:t xml:space="preserve">(2023)</w:t>
      </w:r>
      <w:r>
        <w:t xml:space="preserve"> </w:t>
      </w:r>
      <w:r>
        <w:t xml:space="preserve">demonstraram geotêxteis sustentando cargas de tração de 3–9 N·mm⁻² e apresentando janela de serviço funcional de 120–180 dias sob condições semiáridas com precipitação 350 mm·estação⁻¹ e temperatura média 27°C.</w:t>
      </w:r>
    </w:p>
    <w:p>
      <w:pPr>
        <w:pStyle w:val="Corpodetexto"/>
      </w:pPr>
      <w:r>
        <w:t xml:space="preserve">Segundo</w:t>
      </w:r>
      <w:r>
        <w:t xml:space="preserve"> </w:t>
      </w:r>
      <w:r>
        <w:t xml:space="preserve">L. D. V. Santos et al. (2025)</w:t>
      </w:r>
      <w:r>
        <w:t xml:space="preserve"> </w:t>
      </w:r>
      <w:r>
        <w:t xml:space="preserve">e</w:t>
      </w:r>
      <w:r>
        <w:t xml:space="preserve"> </w:t>
      </w:r>
      <w:r>
        <w:t xml:space="preserve">L. D. V. Santos &amp; colaboradores</w:t>
      </w:r>
      <w:r>
        <w:t xml:space="preserve"> </w:t>
      </w:r>
      <w:r>
        <w:t xml:space="preserve">(2023)</w:t>
      </w:r>
      <w:r>
        <w:t xml:space="preserve">, o valor estratégico de</w:t>
      </w:r>
      <w:r>
        <w:t xml:space="preserve"> </w:t>
      </w:r>
      <w:r>
        <w:rPr>
          <w:i/>
          <w:iCs/>
        </w:rPr>
        <w:t xml:space="preserve">Typha</w:t>
      </w:r>
      <w:r>
        <w:t xml:space="preserve"> </w:t>
      </w:r>
      <w:r>
        <w:t xml:space="preserve">reside na estrutura do colmo rica em celulose (48% celulose, 18% hemicelulose, 22% lignina), enquanto fibras foliares de</w:t>
      </w:r>
      <w:r>
        <w:t xml:space="preserve"> </w:t>
      </w:r>
      <w:r>
        <w:rPr>
          <w:i/>
          <w:iCs/>
        </w:rPr>
        <w:t xml:space="preserve">Syagrus</w:t>
      </w:r>
      <w:r>
        <w:t xml:space="preserve"> </w:t>
      </w:r>
      <w:r>
        <w:t xml:space="preserve">exibem elevado teor de lignina (32%), conferindo recalcitrância à hidrólise enzimática durante degradação inicial.</w:t>
      </w:r>
    </w:p>
    <w:p>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w:t>
      </w:r>
      <w:r>
        <w:t xml:space="preserve"> </w:t>
      </w:r>
      <w:r>
        <w:t xml:space="preserve">(</w:t>
      </w:r>
      <w:r>
        <w:t xml:space="preserve">Amadou et al.</w:t>
      </w:r>
      <w:r>
        <w:t xml:space="preserve">, 2022)</w:t>
      </w:r>
      <w:r>
        <w:t xml:space="preserve">. A colheita de biomassa renovável em zonas úmidas oferece co-benefícios no manejo de espécies invasoras, visto que monoculturas de</w:t>
      </w:r>
      <w:r>
        <w:t xml:space="preserve"> </w:t>
      </w:r>
      <w:r>
        <w:rPr>
          <w:i/>
          <w:iCs/>
        </w:rPr>
        <w:t xml:space="preserve">Typha</w:t>
      </w:r>
      <w:r>
        <w:t xml:space="preserve"> </w:t>
      </w:r>
      <w:r>
        <w:t xml:space="preserve">apresentam produtividade anual de 20–30 Mg·ha⁻¹ de matéria seca em sistemas lênticos eutróficos</w:t>
      </w:r>
      <w:r>
        <w:t xml:space="preserve"> </w:t>
      </w:r>
      <w:r>
        <w:t xml:space="preserve">(</w:t>
      </w:r>
      <w:r>
        <w:t xml:space="preserve">Lorenzo et al.</w:t>
      </w:r>
      <w:r>
        <w:t xml:space="preserve">, 2024)</w:t>
      </w:r>
      <w:r>
        <w:t xml:space="preserve">, reduzindo a carga orgânica e nutrientes que alimentam a eutrofização, ao mesmo tempo em que fornece matéria‑prima de baixo carbono para geotêxteis naturais</w:t>
      </w:r>
      <w:r>
        <w:t xml:space="preserve"> </w:t>
      </w:r>
      <w:r>
        <w:t xml:space="preserve">(Rocha &amp; Goulden, 2009)</w:t>
      </w:r>
      <w:r>
        <w:t xml:space="preserve">. Essa integração operacional entre manejo ecológico e produção de biomateriais fortalece a economia circular local</w:t>
      </w:r>
      <w:r>
        <w:t xml:space="preserve"> </w:t>
      </w:r>
      <w:r>
        <w:t xml:space="preserve">(Haldan et al., 2022)</w:t>
      </w:r>
      <w:r>
        <w:t xml:space="preserve">, diminui passivos ambientais e amplia a viabilidade logística de escalonamento regional</w:t>
      </w:r>
      <w:r>
        <w:t xml:space="preserve"> </w:t>
      </w:r>
      <w:r>
        <w:t xml:space="preserve">(Khan et al., 2025)</w:t>
      </w:r>
      <w:r>
        <w:t xml:space="preserve">.</w:t>
      </w:r>
    </w:p>
    <w:p>
      <w:pPr>
        <w:pStyle w:val="Corpodetexto"/>
      </w:pPr>
      <w:r>
        <w:t xml:space="preserve">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confiabilidade à avaliação de durabilidade, evidenciando a limitação de métricas tradicionais baseadas apenas na resistência inicial e apontando a necessidade de normas que considerem a variabilidade estocástica e a degradação controlada ao longo do tempo.</w:t>
      </w:r>
    </w:p>
    <w:p>
      <w:pPr>
        <w:pStyle w:val="Corpodetexto"/>
      </w:pPr>
      <w:r>
        <w:t xml:space="preserve">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bookmarkEnd w:id="18"/>
    <w:bookmarkEnd w:id="19"/>
    <w:bookmarkStart w:id="34" w:name="X89bd76f43e472f3995875a1d7f4d8dfbc6c211b"/>
    <w:p>
      <w:pPr>
        <w:pStyle w:val="Ttulo2"/>
      </w:pPr>
      <w:r>
        <w:t xml:space="preserve">2. Arquitetura Química de Biopolímeros e Vida Útil Funcional (VUF)</w:t>
      </w:r>
    </w:p>
    <w:bookmarkStart w:id="32" w:name="X0281896dbb8d3c3bbba2248097a5951f436d08e"/>
    <w:p>
      <w:pPr>
        <w:pStyle w:val="Ttulo3"/>
      </w:pPr>
      <w:r>
        <w:t xml:space="preserve">2.1. Arquitetura Lignocelulósica e Perfil Químico</w:t>
      </w:r>
    </w:p>
    <w:p>
      <w:pPr>
        <w:pStyle w:val="FirstParagraph"/>
      </w:pPr>
      <w:r>
        <w:t xml:space="preserve">O desempenho mecânico e a trajetória de biodegradação de geotêxteis de fibra natural estão intrinsecamente ligados à arquitetura molecular dos biopolímeros que os constituem. A celulose, principal componente estrutural, forma um arcabouço semicristalino no qual as cadeias de β-1,4-glucana frequentemente na ordem de milhares de unidades anidro-glicose, podendo chegar a dezenas de milhares em celulose de madeira ou algodão antes de qualquer processamento mecânico ou químico</w:t>
      </w:r>
      <w:r>
        <w:t xml:space="preserve"> </w:t>
      </w:r>
      <w:r>
        <w:t xml:space="preserve">(Shaghaleh et al., 2018)</w:t>
      </w:r>
      <w:r>
        <w:t xml:space="preserve">, alinham-se através de ligações de hidrogênio inter e intramoleculares, formando domínios cristalinos com índice de cristalinidade de 40 a 70%.</w:t>
      </w:r>
    </w:p>
    <w:p>
      <w:pPr>
        <w:pStyle w:val="Corpodetexto"/>
      </w:pPr>
      <w:r>
        <w:t xml:space="preserve">Essas microfibrilas, imersas em uma matriz amorfa de hemicelulose composta por heteropolissacarídeos ramificados como xilana, arabinana e galactana, e lignina formada por oligômeros fenilpropanoides reticulados, tornam a celulose resistente a hidrólise enzimática e química, justamente porque as cadeias longas e bem empacotadas em microfibrilas são menos acessíveis</w:t>
      </w:r>
      <w:r>
        <w:t xml:space="preserve"> </w:t>
      </w:r>
      <w:r>
        <w:t xml:space="preserve">(Karim et al., 2023)</w:t>
      </w:r>
      <w:r>
        <w:t xml:space="preserve">, o que está de acordo com a ideia de que a arquitetura molecular governa a trajetória de biodegradação</w:t>
      </w:r>
      <w:r>
        <w:t xml:space="preserve"> </w:t>
      </w:r>
      <w:r>
        <w:t xml:space="preserve">(Poletto et al., 2012)</w:t>
      </w:r>
      <w:r>
        <w:t xml:space="preserve">.</w:t>
      </w:r>
    </w:p>
    <w:p>
      <w:pPr>
        <w:pStyle w:val="Corpodetexto"/>
      </w:pPr>
      <w:r>
        <w:t xml:space="preserve">Essa arquitetura hierárquica desde o nível molecular até o tecidual (Figura 1) ilustra como a composição química diferencial entre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t xml:space="preserve">determina suas respectivas trajetórias de degradação e Vida Útil Funcional. A lignina, especificamente, funciona como uma barreira hidrofóbica tridimensional que impede estericamente a penetração de celulases e hemicelulases. Sua arquitetura aromática, composta por monômeros de guaiacil (G), siringil (S) e p-hidroxifenil (H), exibe resistência à despolimerização microbiana ordens de magnitude maiores que as da celulose.</w:t>
      </w:r>
    </w:p>
    <w:p>
      <w:pPr>
        <w:pStyle w:val="Corpodetexto"/>
      </w:pPr>
      <w:r>
        <w:rPr>
          <w:b/>
          <w:bCs/>
        </w:rPr>
        <w:t xml:space="preserve">Figura 1.</w:t>
      </w:r>
      <w:r>
        <w:t xml:space="preserve"> </w:t>
      </w:r>
      <w:r>
        <w:t xml:space="preserve">Arquitetura hierárquica multinível de fibras lignocelulósicas e a influência da composição na recalcitrância sendo,</w:t>
      </w:r>
      <w:r>
        <w:t xml:space="preserve"> </w:t>
      </w:r>
      <w:r>
        <w:rPr>
          <w:b/>
          <w:bCs/>
        </w:rPr>
        <w:t xml:space="preserve">(a)</w:t>
      </w:r>
      <w:r>
        <w:t xml:space="preserve"> </w:t>
      </w:r>
      <w:r>
        <w:t xml:space="preserve">Representação esquemática dos principais polímeros de cadeias lineares de celulose,</w:t>
      </w:r>
      <w:r>
        <w:t xml:space="preserve"> </w:t>
      </w:r>
      <w:r>
        <w:rPr>
          <w:b/>
          <w:bCs/>
        </w:rPr>
        <w:t xml:space="preserve">(b)</w:t>
      </w:r>
      <w:r>
        <w:t xml:space="preserve"> </w:t>
      </w:r>
      <w:r>
        <w:t xml:space="preserve">Organização supramolecular do núcleo cristalino das microfibrilas de celulose,</w:t>
      </w:r>
      <w:r>
        <w:t xml:space="preserve"> </w:t>
      </w:r>
      <w:r>
        <w:rPr>
          <w:b/>
          <w:bCs/>
        </w:rPr>
        <w:t xml:space="preserve">(c)</w:t>
      </w:r>
      <w:r>
        <w:t xml:space="preserve"> </w:t>
      </w:r>
      <w:r>
        <w:t xml:space="preserve">Seção transversal da parede celular vegetal e</w:t>
      </w:r>
      <w:r>
        <w:t xml:space="preserve"> </w:t>
      </w:r>
      <w:r>
        <w:rPr>
          <w:b/>
          <w:bCs/>
        </w:rPr>
        <w:t xml:space="preserve">(d)</w:t>
      </w:r>
      <w:r>
        <w:t xml:space="preserve"> </w:t>
      </w:r>
      <w:r>
        <w:t xml:space="preserve">Nível do Tecido e Razão L/C: Comparação esquemática de feixes de fibras de</w:t>
      </w:r>
      <w:r>
        <w:t xml:space="preserve"> </w:t>
      </w:r>
      <w:r>
        <w:rPr>
          <w:i/>
          <w:iCs/>
        </w:rPr>
        <w:t xml:space="preserve">Typha</w:t>
      </w:r>
      <w:r>
        <w:t xml:space="preserve"> </w:t>
      </w:r>
      <w:r>
        <w:t xml:space="preserve">(baixa lignificação) e</w:t>
      </w:r>
      <w:r>
        <w:t xml:space="preserve"> </w:t>
      </w:r>
      <w:r>
        <w:rPr>
          <w:i/>
          <w:iCs/>
        </w:rPr>
        <w:t xml:space="preserve">Syagrus</w:t>
      </w:r>
      <w:r>
        <w:t xml:space="preserve"> </w:t>
      </w:r>
      <w:r>
        <w:t xml:space="preserve">(alta lignificação).</w:t>
      </w:r>
    </w:p>
    <w:p>
      <w:pPr>
        <w:pStyle w:val="Corpodetexto"/>
      </w:pPr>
      <w:r>
        <w:drawing>
          <wp:inline>
            <wp:extent cx="5600700" cy="3054753"/>
            <wp:effectExtent b="0" l="0" r="0" t="0"/>
            <wp:docPr descr="" title="" id="21" name="Picture"/>
            <a:graphic>
              <a:graphicData uri="http://schemas.openxmlformats.org/drawingml/2006/picture">
                <pic:pic>
                  <pic:nvPicPr>
                    <pic:cNvPr descr="../3-IMAGENS/fig_01.png" id="22" name="Picture"/>
                    <pic:cNvPicPr>
                      <a:picLocks noChangeArrowheads="1" noChangeAspect="1"/>
                    </pic:cNvPicPr>
                  </pic:nvPicPr>
                  <pic:blipFill>
                    <a:blip r:embed="rId20"/>
                    <a:stretch>
                      <a:fillRect/>
                    </a:stretch>
                  </pic:blipFill>
                  <pic:spPr bwMode="auto">
                    <a:xfrm>
                      <a:off x="0" y="0"/>
                      <a:ext cx="5600700" cy="3054753"/>
                    </a:xfrm>
                    <a:prstGeom prst="rect">
                      <a:avLst/>
                    </a:prstGeom>
                    <a:noFill/>
                    <a:ln w="9525">
                      <a:noFill/>
                      <a:headEnd/>
                      <a:tailEnd/>
                    </a:ln>
                  </pic:spPr>
                </pic:pic>
              </a:graphicData>
            </a:graphic>
          </wp:inline>
        </w:drawing>
      </w:r>
    </w:p>
    <w:p>
      <w:pPr>
        <w:pStyle w:val="Corpodetexto"/>
      </w:pPr>
      <w:r>
        <w:t xml:space="preserve">A caracterização química de fibras de</w:t>
      </w:r>
      <w:r>
        <w:t xml:space="preserve"> </w:t>
      </w:r>
      <w:r>
        <w:rPr>
          <w:i/>
          <w:iCs/>
        </w:rPr>
        <w:t xml:space="preserve">Syagrus coronata</w:t>
      </w:r>
      <w:r>
        <w:t xml:space="preserve"> </w:t>
      </w:r>
      <w:r>
        <w:t xml:space="preserve">(Tabela 1) demonstra 32% de lignina contra 22% em</w:t>
      </w:r>
      <w:r>
        <w:t xml:space="preserve"> </w:t>
      </w:r>
      <w:r>
        <w:rPr>
          <w:i/>
          <w:iCs/>
        </w:rPr>
        <w:t xml:space="preserve">Typha domingensis</w:t>
      </w:r>
      <w:r>
        <w:t xml:space="preserve">, diferença composicional que se traduz em trajetórias de degradação contrastantes sob exposição em campo. Fibras não tratadas de</w:t>
      </w:r>
      <w:r>
        <w:t xml:space="preserve"> </w:t>
      </w:r>
      <w:r>
        <w:rPr>
          <w:i/>
          <w:iCs/>
        </w:rPr>
        <w:t xml:space="preserve">Typha</w:t>
      </w:r>
      <w:r>
        <w:t xml:space="preserve"> </w:t>
      </w:r>
      <w:r>
        <w:t xml:space="preserve">perdem viabilidade mecânica aos 60 dias de exposição ambiental (redução de 63,2% na resistência à tração), enquanto</w:t>
      </w:r>
      <w:r>
        <w:t xml:space="preserve"> </w:t>
      </w:r>
      <w:r>
        <w:rPr>
          <w:i/>
          <w:iCs/>
        </w:rPr>
        <w:t xml:space="preserve">Syagrus</w:t>
      </w:r>
      <w:r>
        <w:t xml:space="preserve"> </w:t>
      </w:r>
      <w:r>
        <w:t xml:space="preserve">mantém integridade estrutural observável até 90 dias, evidenciando a recalcitrância conferida pelo maior teor de lignina</w:t>
      </w:r>
      <w:r>
        <w:t xml:space="preserve"> </w:t>
      </w:r>
      <w:r>
        <w:t xml:space="preserve">(Holanda et al., 2025a)</w:t>
      </w:r>
      <w:r>
        <w:t xml:space="preserve">.</w:t>
      </w:r>
    </w:p>
    <w:p>
      <w:pPr>
        <w:pStyle w:val="Corpodetexto"/>
      </w:pPr>
      <w:r>
        <w:t xml:space="preserve">A relação lignina-celulose (L/C) se estabelece como o principal índice preditivo de recalcitrância</w:t>
      </w:r>
      <w:r>
        <w:t xml:space="preserve"> </w:t>
      </w:r>
      <w:r>
        <w:t xml:space="preserve">(</w:t>
      </w:r>
      <w:r>
        <w:t xml:space="preserve">L. D. V. Santos &amp; colaboradores</w:t>
      </w:r>
      <w:r>
        <w:t xml:space="preserve">, 2023)</w:t>
      </w:r>
      <w:r>
        <w:t xml:space="preserve">. Observações empíricas em nosso conjunto de dados demonstram uma relação exponencial inversa entre L/C e a constante de taxa de degradação (</w:t>
      </w:r>
      <m:oMath>
        <m:r>
          <m:t>k</m:t>
        </m:r>
      </m:oMath>
      <w:r>
        <w:t xml:space="preserve">, dia⁻¹), dada por:</w:t>
      </w:r>
    </w:p>
    <w:p>
      <w:pPr>
        <w:pStyle w:val="Corpodetexto"/>
      </w:pPr>
      <m:oMathPara>
        <m:oMathParaPr>
          <m:jc m:val="center"/>
        </m:oMathParaPr>
        <m:oMath>
          <m:r>
            <m:t>k</m:t>
          </m:r>
          <m:r>
            <m:rPr>
              <m:sty m:val="p"/>
            </m:rPr>
            <m:t>=</m:t>
          </m:r>
          <m:r>
            <m:t>0</m:t>
          </m:r>
          <m:r>
            <m:rPr>
              <m:sty m:val="p"/>
            </m:rPr>
            <m:t>,</m:t>
          </m:r>
          <m:r>
            <m:t>032</m:t>
          </m:r>
          <m:r>
            <m:rPr>
              <m:sty m:val="p"/>
            </m:rPr>
            <m:t>⋅</m:t>
          </m:r>
          <m:sSup>
            <m:e>
              <m:r>
                <m:t>e</m:t>
              </m:r>
            </m:e>
            <m:sup>
              <m:r>
                <m:rPr>
                  <m:sty m:val="p"/>
                </m:rPr>
                <m:t>−</m:t>
              </m:r>
              <m:r>
                <m:t>2</m:t>
              </m:r>
              <m:r>
                <m:rPr>
                  <m:sty m:val="p"/>
                </m:rPr>
                <m:t>,</m:t>
              </m:r>
              <m:r>
                <m:t>1</m:t>
              </m:r>
              <m:r>
                <m:rPr>
                  <m:sty m:val="p"/>
                </m:rPr>
                <m:t>⋅</m:t>
              </m:r>
              <m:r>
                <m:rPr>
                  <m:sty m:val="p"/>
                </m:rPr>
                <m:t>(</m:t>
              </m:r>
              <m:r>
                <m:t>L</m:t>
              </m:r>
              <m:r>
                <m:rPr>
                  <m:sty m:val="p"/>
                </m:rPr>
                <m:t>/</m:t>
              </m:r>
              <m:r>
                <m:t>C</m:t>
              </m:r>
              <m:r>
                <m:rPr>
                  <m:sty m:val="p"/>
                </m:rPr>
                <m:t>)</m:t>
              </m:r>
            </m:sup>
          </m:sSup>
        </m:oMath>
      </m:oMathPara>
    </w:p>
    <w:p>
      <w:pPr>
        <w:pStyle w:val="FirstParagraph"/>
      </w:pPr>
      <w:r>
        <w:t xml:space="preserve">Para</w:t>
      </w:r>
      <w:r>
        <w:t xml:space="preserve"> </w:t>
      </w:r>
      <w:r>
        <w:rPr>
          <w:i/>
          <w:iCs/>
        </w:rPr>
        <w:t xml:space="preserve">Typha</w:t>
      </w:r>
      <w:r>
        <w:t xml:space="preserve"> </w:t>
      </w:r>
      <w:r>
        <w:t xml:space="preserve">(L/C = 0,46), isso resulta em</w:t>
      </w:r>
      <w:r>
        <w:t xml:space="preserve"> </w:t>
      </w:r>
      <m:oMath>
        <m:r>
          <m:t>k</m:t>
        </m:r>
      </m:oMath>
      <w:r>
        <w:t xml:space="preserve"> </w:t>
      </w:r>
      <w:r>
        <w:t xml:space="preserve">= 0,0118 dia⁻¹, o que implica uma meia-vida de 59 dias sob condições mesofílicas (25°C, 60% de umidade relativa). Em contraste,</w:t>
      </w:r>
      <w:r>
        <w:t xml:space="preserve"> </w:t>
      </w:r>
      <w:r>
        <w:rPr>
          <w:i/>
          <w:iCs/>
        </w:rPr>
        <w:t xml:space="preserve">Syagrus</w:t>
      </w:r>
      <w:r>
        <w:t xml:space="preserve"> </w:t>
      </w:r>
      <w:r>
        <w:t xml:space="preserve">(L/C = 0,67) apresenta</w:t>
      </w:r>
      <w:r>
        <w:t xml:space="preserve"> </w:t>
      </w:r>
      <m:oMath>
        <m:r>
          <m:t>k</m:t>
        </m:r>
      </m:oMath>
      <w:r>
        <w:t xml:space="preserve"> </w:t>
      </w:r>
      <w:r>
        <w:t xml:space="preserve">= 0,0082 dia⁻¹ (meia-vida = 85 dias), consistente com observações de campo onde geotêxteis de</w:t>
      </w:r>
      <w:r>
        <w:t xml:space="preserve"> </w:t>
      </w:r>
      <w:r>
        <w:rPr>
          <w:i/>
          <w:iCs/>
        </w:rPr>
        <w:t xml:space="preserve">Syagrus</w:t>
      </w:r>
      <w:r>
        <w:t xml:space="preserve"> </w:t>
      </w:r>
      <w:r>
        <w:t xml:space="preserve">não tratados mantiveram integridade estrutural após 120 dias de exposição, enquanto os geotêxteis de</w:t>
      </w:r>
      <w:r>
        <w:t xml:space="preserve"> </w:t>
      </w:r>
      <w:r>
        <w:rPr>
          <w:i/>
          <w:iCs/>
        </w:rPr>
        <w:t xml:space="preserve">Typha</w:t>
      </w:r>
      <w:r>
        <w:t xml:space="preserve"> </w:t>
      </w:r>
      <w:r>
        <w:t xml:space="preserve">falharam em 60 dias.</w:t>
      </w:r>
    </w:p>
    <w:p>
      <w:pPr>
        <w:pStyle w:val="Corpodetexto"/>
      </w:pPr>
      <w:r>
        <w:rPr>
          <w:b/>
          <w:bCs/>
        </w:rPr>
        <w:t xml:space="preserve">Tabela 1.</w:t>
      </w:r>
      <w:r>
        <w:t xml:space="preserve"> </w:t>
      </w:r>
      <w:r>
        <w:t xml:space="preserve">Perfil químico-mecânico comparativo de fibras lignocelulósicas tropicais para geotêxteis biodegradáveis.</w:t>
      </w:r>
    </w:p>
    <w:tbl>
      <w:tblPr>
        <w:tblStyle w:val="Table"/>
        <w:tblW w:type="pct" w:w="5000"/>
        <w:tblLayout w:type="fixed"/>
        <w:tblLook w:firstRow="1" w:lastRow="0" w:firstColumn="0" w:lastColumn="0" w:noHBand="0" w:noVBand="0" w:val="0020"/>
      </w:tblPr>
      <w:tblGrid>
        <w:gridCol w:w="1620"/>
        <w:gridCol w:w="720"/>
        <w:gridCol w:w="660"/>
        <w:gridCol w:w="240"/>
        <w:gridCol w:w="1380"/>
        <w:gridCol w:w="960"/>
        <w:gridCol w:w="660"/>
        <w:gridCol w:w="600"/>
        <w:gridCol w:w="1080"/>
      </w:tblGrid>
      <w:tr>
        <w:trPr>
          <w:tblHeader w:val="on"/>
        </w:trPr>
        <w:tc>
          <w:tcPr/>
          <w:p>
            <w:pPr>
              <w:pStyle w:val="Compact"/>
            </w:pPr>
            <w:r>
              <w:t xml:space="preserve">Espécie</w:t>
            </w:r>
          </w:p>
        </w:tc>
        <w:tc>
          <w:tcPr/>
          <w:p>
            <w:pPr>
              <w:pStyle w:val="Compact"/>
            </w:pPr>
            <w:r>
              <w:t xml:space="preserve">Celulose (%)</w:t>
            </w:r>
          </w:p>
        </w:tc>
        <w:tc>
          <w:tcPr/>
          <w:p>
            <w:pPr>
              <w:pStyle w:val="Compact"/>
            </w:pPr>
            <w:r>
              <w:t xml:space="preserve">Lignina (%)</w:t>
            </w:r>
          </w:p>
        </w:tc>
        <w:tc>
          <w:tcPr/>
          <w:p>
            <w:pPr>
              <w:pStyle w:val="Compact"/>
            </w:pPr>
            <w:r>
              <w:t xml:space="preserve">L/C</w:t>
            </w:r>
          </w:p>
        </w:tc>
        <w:tc>
          <w:tcPr/>
          <w:p>
            <w:pPr>
              <w:pStyle w:val="Compact"/>
            </w:pPr>
            <w:r>
              <w:t xml:space="preserve">Tração inicial (N/mm)</w:t>
            </w:r>
          </w:p>
        </w:tc>
        <w:tc>
          <w:tcPr/>
          <w:p>
            <w:pPr>
              <w:pStyle w:val="Compact"/>
            </w:pPr>
            <w:r>
              <w:t xml:space="preserve">Deformação (%)</w:t>
            </w:r>
          </w:p>
        </w:tc>
        <w:tc>
          <w:tcPr/>
          <w:p>
            <w:pPr>
              <w:pStyle w:val="Compact"/>
            </w:pPr>
            <w:r>
              <w:t xml:space="preserve">k (dia⁻¹)</w:t>
            </w:r>
          </w:p>
        </w:tc>
        <w:tc>
          <w:tcPr/>
          <w:p>
            <w:pPr>
              <w:pStyle w:val="Compact"/>
            </w:pPr>
            <w:r>
              <w:t xml:space="preserve">t½ (dias)</w:t>
            </w:r>
          </w:p>
        </w:tc>
        <w:tc>
          <w:tcPr/>
          <w:p>
            <w:pPr>
              <w:pStyle w:val="Compact"/>
            </w:pPr>
            <w:r>
              <w:t xml:space="preserve">VUF P₁₀ (dias)†</w:t>
            </w:r>
          </w:p>
        </w:tc>
      </w:tr>
      <w:tr>
        <w:tc>
          <w:tcPr/>
          <w:p>
            <w:pPr>
              <w:pStyle w:val="Compact"/>
            </w:pPr>
            <w:r>
              <w:rPr>
                <w:b/>
                <w:bCs/>
              </w:rPr>
              <w:t xml:space="preserve">Typha domingensis</w:t>
            </w:r>
          </w:p>
        </w:tc>
        <w:tc>
          <w:tcPr/>
          <w:p>
            <w:pPr>
              <w:pStyle w:val="Compact"/>
            </w:pPr>
            <w:r>
              <w:t xml:space="preserve">48</w:t>
            </w:r>
          </w:p>
        </w:tc>
        <w:tc>
          <w:tcPr/>
          <w:p>
            <w:pPr>
              <w:pStyle w:val="Compact"/>
            </w:pPr>
            <w:r>
              <w:t xml:space="preserve">22</w:t>
            </w:r>
          </w:p>
        </w:tc>
        <w:tc>
          <w:tcPr/>
          <w:p>
            <w:pPr>
              <w:pStyle w:val="Compact"/>
            </w:pPr>
            <w:r>
              <w:t xml:space="preserve">0.46</w:t>
            </w:r>
          </w:p>
        </w:tc>
        <w:tc>
          <w:tcPr/>
          <w:p>
            <w:pPr>
              <w:pStyle w:val="Compact"/>
            </w:pPr>
            <w:r>
              <w:t xml:space="preserve">107.6 ± 25.3</w:t>
            </w:r>
          </w:p>
        </w:tc>
        <w:tc>
          <w:tcPr/>
          <w:p>
            <w:pPr>
              <w:pStyle w:val="Compact"/>
            </w:pPr>
            <w:r>
              <w:t xml:space="preserve">2.9 ± 2.1</w:t>
            </w:r>
          </w:p>
        </w:tc>
        <w:tc>
          <w:tcPr/>
          <w:p>
            <w:pPr>
              <w:pStyle w:val="Compact"/>
            </w:pPr>
            <w:r>
              <w:t xml:space="preserve">0.0118</w:t>
            </w:r>
          </w:p>
        </w:tc>
        <w:tc>
          <w:tcPr/>
          <w:p>
            <w:pPr>
              <w:pStyle w:val="Compact"/>
            </w:pPr>
            <w:r>
              <w:t xml:space="preserve">59</w:t>
            </w:r>
          </w:p>
        </w:tc>
        <w:tc>
          <w:tcPr/>
          <w:p>
            <w:pPr>
              <w:pStyle w:val="Compact"/>
            </w:pPr>
            <w:r>
              <w:t xml:space="preserve">42</w:t>
            </w:r>
          </w:p>
        </w:tc>
      </w:tr>
      <w:tr>
        <w:tc>
          <w:tcPr/>
          <w:p>
            <w:pPr>
              <w:pStyle w:val="Compact"/>
            </w:pPr>
            <w:r>
              <w:rPr>
                <w:b/>
                <w:bCs/>
              </w:rPr>
              <w:t xml:space="preserve">Juncus sp.</w:t>
            </w:r>
          </w:p>
        </w:tc>
        <w:tc>
          <w:tcPr/>
          <w:p>
            <w:pPr>
              <w:pStyle w:val="Compact"/>
            </w:pPr>
            <w:r>
              <w:t xml:space="preserve">n.d.</w:t>
            </w:r>
          </w:p>
        </w:tc>
        <w:tc>
          <w:tcPr/>
          <w:p>
            <w:pPr>
              <w:pStyle w:val="Compact"/>
            </w:pPr>
            <w:r>
              <w:t xml:space="preserve">n.d.</w:t>
            </w:r>
          </w:p>
        </w:tc>
        <w:tc>
          <w:tcPr/>
          <w:p>
            <w:pPr>
              <w:pStyle w:val="Compact"/>
            </w:pPr>
            <w:r>
              <w:t xml:space="preserve">n.d.</w:t>
            </w:r>
          </w:p>
        </w:tc>
        <w:tc>
          <w:tcPr/>
          <w:p>
            <w:pPr>
              <w:pStyle w:val="Compact"/>
            </w:pPr>
            <w:r>
              <w:t xml:space="preserve">72.6 ± 16.9</w:t>
            </w:r>
          </w:p>
        </w:tc>
        <w:tc>
          <w:tcPr/>
          <w:p>
            <w:pPr>
              <w:pStyle w:val="Compact"/>
            </w:pPr>
            <w:r>
              <w:t xml:space="preserve">n.d.</w:t>
            </w:r>
          </w:p>
        </w:tc>
        <w:tc>
          <w:tcPr/>
          <w:p>
            <w:pPr>
              <w:pStyle w:val="Compact"/>
            </w:pPr>
            <w:r>
              <w:t xml:space="preserve">&gt;0.015*</w:t>
            </w:r>
          </w:p>
        </w:tc>
        <w:tc>
          <w:tcPr/>
          <w:p>
            <w:pPr>
              <w:pStyle w:val="Compact"/>
            </w:pPr>
            <w:r>
              <w:t xml:space="preserve">&lt;46*</w:t>
            </w:r>
          </w:p>
        </w:tc>
        <w:tc>
          <w:tcPr/>
          <w:p>
            <w:pPr>
              <w:pStyle w:val="Compact"/>
            </w:pPr>
            <w:r>
              <w:t xml:space="preserve">&lt;30*</w:t>
            </w:r>
          </w:p>
        </w:tc>
      </w:tr>
      <w:tr>
        <w:tc>
          <w:tcPr/>
          <w:p>
            <w:pPr>
              <w:pStyle w:val="Compact"/>
            </w:pPr>
            <w:r>
              <w:rPr>
                <w:b/>
                <w:bCs/>
              </w:rPr>
              <w:t xml:space="preserve">Syagrus coronata</w:t>
            </w:r>
          </w:p>
        </w:tc>
        <w:tc>
          <w:tcPr/>
          <w:p>
            <w:pPr>
              <w:pStyle w:val="Compact"/>
            </w:pPr>
            <w:r>
              <w:t xml:space="preserve">40‡</w:t>
            </w:r>
          </w:p>
        </w:tc>
        <w:tc>
          <w:tcPr/>
          <w:p>
            <w:pPr>
              <w:pStyle w:val="Compact"/>
            </w:pPr>
            <w:r>
              <w:t xml:space="preserve">32</w:t>
            </w:r>
          </w:p>
        </w:tc>
        <w:tc>
          <w:tcPr/>
          <w:p>
            <w:pPr>
              <w:pStyle w:val="Compact"/>
            </w:pPr>
            <w:r>
              <w:t xml:space="preserve">0.80</w:t>
            </w:r>
          </w:p>
        </w:tc>
        <w:tc>
          <w:tcPr/>
          <w:p>
            <w:pPr>
              <w:pStyle w:val="Compact"/>
            </w:pPr>
            <w:r>
              <w:t xml:space="preserve">142.1 ± 31.6</w:t>
            </w:r>
          </w:p>
        </w:tc>
        <w:tc>
          <w:tcPr/>
          <w:p>
            <w:pPr>
              <w:pStyle w:val="Compact"/>
            </w:pPr>
            <w:r>
              <w:t xml:space="preserve">2.9 ± 2.1</w:t>
            </w:r>
          </w:p>
        </w:tc>
        <w:tc>
          <w:tcPr/>
          <w:p>
            <w:pPr>
              <w:pStyle w:val="Compact"/>
            </w:pPr>
            <w:r>
              <w:t xml:space="preserve">0.0082</w:t>
            </w:r>
          </w:p>
        </w:tc>
        <w:tc>
          <w:tcPr/>
          <w:p>
            <w:pPr>
              <w:pStyle w:val="Compact"/>
            </w:pPr>
            <w:r>
              <w:t xml:space="preserve">85</w:t>
            </w:r>
          </w:p>
        </w:tc>
        <w:tc>
          <w:tcPr/>
          <w:p>
            <w:pPr>
              <w:pStyle w:val="Compact"/>
            </w:pPr>
            <w:r>
              <w:t xml:space="preserve">38§</w:t>
            </w:r>
          </w:p>
        </w:tc>
      </w:tr>
    </w:tbl>
    <w:p>
      <w:pPr>
        <w:pStyle w:val="Corpodetexto"/>
      </w:pPr>
      <w:r>
        <w:rPr>
          <w:b/>
          <w:bCs/>
        </w:rPr>
        <w:t xml:space="preserve">Notas:</w:t>
      </w:r>
      <w:r>
        <w:t xml:space="preserve"> </w:t>
      </w:r>
      <w:r>
        <w:t xml:space="preserve">n.d. = não determinado; †VUF baseada em 10º percentil de falha Weibull (P₁₀); *Estimado a partir de perda de 97% aos 60 dias; ‡Estimado por diferença (100% - lignina - hemicelulose - extrativos).</w:t>
      </w:r>
    </w:p>
    <w:p>
      <w:pPr>
        <w:pStyle w:val="Corpodetexto"/>
      </w:pPr>
      <w:r>
        <w:t xml:space="preserve">Entretanto, essa vantagem temporal inicial não se traduz necessariamente em durabilidade estendida, conforme evidenciado pela falha mecânica abrupta de</w:t>
      </w:r>
      <w:r>
        <w:t xml:space="preserve"> </w:t>
      </w:r>
      <w:r>
        <w:rPr>
          <w:i/>
          <w:iCs/>
        </w:rPr>
        <w:t xml:space="preserve">Syagrus</w:t>
      </w:r>
      <w:r>
        <w:t xml:space="preserve"> </w:t>
      </w:r>
      <w:r>
        <w:t xml:space="preserve">caracterizada por colapso estrutural súbito aos 30 dias (perda de 65% da resistência). Esse comportamento bifásico sugere que a distribuição espacial da lignina na matriz lignocelulósica, e não apenas sua proporção absoluta, governa a resistência à biodegradação, onde zonas de baixa reticulação permitem penetração microbiana localizada seguida de propagação rápida de trincas</w:t>
      </w:r>
      <w:r>
        <w:t xml:space="preserve"> </w:t>
      </w:r>
      <w:r>
        <w:t xml:space="preserve">(</w:t>
      </w:r>
      <w:r>
        <w:t xml:space="preserve">Silva et al.</w:t>
      </w:r>
      <w:r>
        <w:t xml:space="preserve">, 2025)</w:t>
      </w:r>
      <w:r>
        <w:t xml:space="preserve">.</w:t>
      </w:r>
    </w:p>
    <w:p>
      <w:pPr>
        <w:pStyle w:val="Corpodetexto"/>
      </w:pPr>
      <w:r>
        <w:t xml:space="preserve">A relação entre composição química e desempenho temporal (Figura 2) mapeia a trajetória desde a razão L/C até a Vida Útil Funcional, incluindo cinéticas de degradação observadas em campo, evolução da resistência mecânica e eficácia comparativa de tratamentos de superfície para extensão da VUF.</w:t>
      </w:r>
    </w:p>
    <w:p>
      <w:pPr>
        <w:pStyle w:val="Corpodetexto"/>
      </w:pPr>
      <w:r>
        <w:rPr>
          <w:b/>
          <w:bCs/>
        </w:rPr>
        <w:t xml:space="preserve">Figura 2.</w:t>
      </w:r>
      <w:r>
        <w:t xml:space="preserve"> </w:t>
      </w:r>
      <w:r>
        <w:t xml:space="preserve">Diagrama de fluxo integrando composição química (razão lignina/celulose) com desempenho temporal de geotêxteis de</w:t>
      </w:r>
      <w:r>
        <w:t xml:space="preserve"> </w:t>
      </w:r>
      <w:r>
        <w:rPr>
          <w:i/>
          <w:iCs/>
        </w:rPr>
        <w:t xml:space="preserve">Typha domingensis</w:t>
      </w:r>
      <w:r>
        <w:t xml:space="preserve"> </w:t>
      </w:r>
      <w:r>
        <w:t xml:space="preserve">e</w:t>
      </w:r>
      <w:r>
        <w:t xml:space="preserve"> </w:t>
      </w:r>
      <w:r>
        <w:rPr>
          <w:i/>
          <w:iCs/>
        </w:rPr>
        <w:t xml:space="preserve">Syagrus coronata</w:t>
      </w:r>
      <w:r>
        <w:t xml:space="preserve">.</w:t>
      </w:r>
      <w:r>
        <w:t xml:space="preserve"> </w:t>
      </w:r>
      <w:r>
        <w:drawing>
          <wp:inline>
            <wp:extent cx="5600700" cy="6329680"/>
            <wp:effectExtent b="0" l="0" r="0" t="0"/>
            <wp:docPr descr="" title="" id="24" name="Picture"/>
            <a:graphic>
              <a:graphicData uri="http://schemas.openxmlformats.org/drawingml/2006/picture">
                <pic:pic>
                  <pic:nvPicPr>
                    <pic:cNvPr descr="../3-IMAGENS/fig_2.png" id="25" name="Picture"/>
                    <pic:cNvPicPr>
                      <a:picLocks noChangeArrowheads="1" noChangeAspect="1"/>
                    </pic:cNvPicPr>
                  </pic:nvPicPr>
                  <pic:blipFill>
                    <a:blip r:embed="rId23"/>
                    <a:stretch>
                      <a:fillRect/>
                    </a:stretch>
                  </pic:blipFill>
                  <pic:spPr bwMode="auto">
                    <a:xfrm>
                      <a:off x="0" y="0"/>
                      <a:ext cx="5600700" cy="6329680"/>
                    </a:xfrm>
                    <a:prstGeom prst="rect">
                      <a:avLst/>
                    </a:prstGeom>
                    <a:noFill/>
                    <a:ln w="9525">
                      <a:noFill/>
                      <a:headEnd/>
                      <a:tailEnd/>
                    </a:ln>
                  </pic:spPr>
                </pic:pic>
              </a:graphicData>
            </a:graphic>
          </wp:inline>
        </w:drawing>
      </w:r>
    </w:p>
    <w:p>
      <w:pPr>
        <w:pStyle w:val="Corpodetexto"/>
      </w:pPr>
      <w:r>
        <w:rPr>
          <w:i/>
          <w:iCs/>
        </w:rPr>
        <w:t xml:space="preserve">Nota: O fluxograma ilustra: (i) constantes de degradação (k) e meia-vida (t½) observadas em exposição de campo; (ii) trajetórias de resistência mecânica até falha; (iii) Vida Útil Funcional (VUF) calculada via Weibull P₁₀, com parâmetros β (forma) e η (escala); (iv) estratégias de modificação de superfície (mercerização alcalina e revestimentos poliméricos) para extensão da VUF, destacando a eficácia diferencial e o fenômeno de delaminação em dupla camada.</w:t>
      </w:r>
      <w:r>
        <w:rPr>
          <w:i/>
          <w:iCs/>
        </w:rPr>
        <w:t xml:space="preserve"> </w:t>
      </w:r>
      <w:r>
        <w:t xml:space="preserve">VUF de</w:t>
      </w:r>
      <w:r>
        <w:t xml:space="preserve"> </w:t>
      </w:r>
      <w:r>
        <w:rPr>
          <w:i/>
          <w:iCs/>
        </w:rPr>
        <w:t xml:space="preserve">Syagrus</w:t>
      </w:r>
      <w:r>
        <w:t xml:space="preserve"> </w:t>
      </w:r>
      <w:r>
        <w:t xml:space="preserve">ajustada para falha abrupta aos 30 dias (colapso estrutural 65%) apesar da recalcitrância química superior.*</w:t>
      </w:r>
    </w:p>
    <w:p>
      <w:pPr>
        <w:pStyle w:val="Corpodetexto"/>
      </w:pPr>
      <w:r>
        <w:t xml:space="preserve">Essa vulnerabilidade cinética encontra sua justificativa nas assinaturas espectrais reveladas pela espectroscopia de infravermelho com transformada de Fourier (FTIR)</w:t>
      </w:r>
      <w:r>
        <w:t xml:space="preserve"> </w:t>
      </w:r>
      <w:r>
        <w:t xml:space="preserve">(Pandey, 1999; Popescu et al., 2011)</w:t>
      </w:r>
      <w:r>
        <w:t xml:space="preserve">, técnica que permite a identificação de grupos funcionais específicos na matriz lignocelulósica e sua relação com a reatividade frente à degradação biológica. A análise comparativa dos espectros (Figura 3) revela diferenças estruturais evidentes entre as duas espécies, que se traduzem em comportamentos distintos frente aos processos de biodegradação. Essas variações estruturais detectadas por FTIR e TGA refletem diretamente na integridade das microfibrilas e, consequentemente, na resistência mecânica inicial dos geotêxteis.</w:t>
      </w:r>
    </w:p>
    <w:p>
      <w:pPr>
        <w:pStyle w:val="Corpodetexto"/>
      </w:pPr>
      <w:r>
        <w:t xml:space="preserve">As fibras de</w:t>
      </w:r>
      <w:r>
        <w:t xml:space="preserve"> </w:t>
      </w:r>
      <w:r>
        <w:rPr>
          <w:i/>
          <w:iCs/>
        </w:rPr>
        <w:t xml:space="preserve">Typha domingensis</w:t>
      </w:r>
      <w:r>
        <w:t xml:space="preserve"> </w:t>
      </w:r>
      <w:r>
        <w:t xml:space="preserve">apresentam absorção elevada em 1735 cm⁻¹, atribuída ao estiramento C=O de grupos acetil presentes na hemicelulose, polissacarídeo ramificado que atua como elo entre a celulose cristalina e a matriz lignificada</w:t>
      </w:r>
      <w:r>
        <w:t xml:space="preserve"> </w:t>
      </w:r>
      <w:r>
        <w:t xml:space="preserve">(Pandey, 1999)</w:t>
      </w:r>
      <w:r>
        <w:t xml:space="preserve">. Tal comportamento de banda reflete o teor de hemicelulose da espécie, componente reconhecidamente mais suscetível à hidrólise enzimática por fungos de podridão branca e bactérias celulolíticas</w:t>
      </w:r>
      <w:r>
        <w:t xml:space="preserve"> </w:t>
      </w:r>
      <w:r>
        <w:t xml:space="preserve">(Hatakka &amp; Hammel, 2011)</w:t>
      </w:r>
      <w:r>
        <w:t xml:space="preserve">.</w:t>
      </w:r>
    </w:p>
    <w:p>
      <w:pPr>
        <w:pStyle w:val="Corpodetexto"/>
      </w:pPr>
      <w:r>
        <w:t xml:space="preserve">A região de alta intensidade em 3300 cm⁻¹ (estiramento O-H) evidencia a abundância de grupos hidroxila livres, sítios preferenciais para adsorção de moléculas de água e formação de pontes de hidrogênio</w:t>
      </w:r>
      <w:r>
        <w:t xml:space="preserve"> </w:t>
      </w:r>
      <w:r>
        <w:t xml:space="preserve">(Popescu et al., 2011)</w:t>
      </w:r>
      <w:r>
        <w:t xml:space="preserve">. Esse caráter hidrofílico elevado facilita a penetração de umidade na estrutura fibrilar, criando microambientes favoráveis à atividade enzimática e à proliferação microbiana. A banda em 2920 cm⁻¹ (C-H alifático) confirma a presença de cadeias polissacarídicas lineares típicas da celulose e hemicelulose</w:t>
      </w:r>
      <w:r>
        <w:t xml:space="preserve"> </w:t>
      </w:r>
      <w:r>
        <w:t xml:space="preserve">(Pandey, 1999)</w:t>
      </w:r>
      <w:r>
        <w:t xml:space="preserve">.</w:t>
      </w:r>
    </w:p>
    <w:p>
      <w:pPr>
        <w:pStyle w:val="Corpodetexto"/>
      </w:pPr>
      <w:r>
        <w:t xml:space="preserve">Por outro lado, a lignina aromática, evidenciada pela banda em 1600 cm⁻¹ (estiramento C=C de anéis aromáticos), apresenta intensidade relativamente moderada em</w:t>
      </w:r>
      <w:r>
        <w:t xml:space="preserve"> </w:t>
      </w:r>
      <w:r>
        <w:rPr>
          <w:i/>
          <w:iCs/>
        </w:rPr>
        <w:t xml:space="preserve">Typha</w:t>
      </w:r>
      <w:r>
        <w:t xml:space="preserve">, sugerindo menor grau de lignificação comparado a espécies lenhosas. A lignina, polímero fenólico tridimensional formado pela polimerização oxidativa de álcoois hidroxicinâmicos (p-cumaril, coniferil e sinapil), atua como agente impermeabilizante e confere rigidez estrutural à parede celular. Sua menor proporção em</w:t>
      </w:r>
      <w:r>
        <w:t xml:space="preserve"> </w:t>
      </w:r>
      <w:r>
        <w:rPr>
          <w:i/>
          <w:iCs/>
        </w:rPr>
        <w:t xml:space="preserve">Typha</w:t>
      </w:r>
      <w:r>
        <w:t xml:space="preserve"> </w:t>
      </w:r>
      <w:r>
        <w:t xml:space="preserve">reduz a proteção física contra a penetração de enzimas degradativas, acelerando os processos de despolimerização dos polissacarídeos</w:t>
      </w:r>
      <w:r>
        <w:t xml:space="preserve"> </w:t>
      </w:r>
      <w:r>
        <w:t xml:space="preserve">(Z. Wu et al., 2022)</w:t>
      </w:r>
      <w:r>
        <w:t xml:space="preserve">.</w:t>
      </w:r>
    </w:p>
    <w:p>
      <w:pPr>
        <w:pStyle w:val="Corpodetexto"/>
      </w:pPr>
      <w:r>
        <w:t xml:space="preserve">Em contraste,</w:t>
      </w:r>
      <w:r>
        <w:t xml:space="preserve"> </w:t>
      </w:r>
      <w:r>
        <w:rPr>
          <w:i/>
          <w:iCs/>
        </w:rPr>
        <w:t xml:space="preserve">Syagrus coronata</w:t>
      </w:r>
      <w:r>
        <w:t xml:space="preserve"> </w:t>
      </w:r>
      <w:r>
        <w:t xml:space="preserve">exibe perfil espectral característico de fibras altamente lignificadas, com pico dominante em 1590 cm⁻¹, assinatura característica de lignina siringílica (unidades S), derivada da polimerização do álcool sinapílico</w:t>
      </w:r>
      <w:r>
        <w:t xml:space="preserve"> </w:t>
      </w:r>
      <w:r>
        <w:t xml:space="preserve">(Popescu et al., 2011)</w:t>
      </w:r>
      <w:r>
        <w:t xml:space="preserve">. Esse tipo de lignina, com dois grupos metoxila nas posições 3 e 5 do anel aromático, apresenta menor reatividade que as ligninas guaiacílicas (unidades G) presentes em coníferas, conferindo maior resistência à degradação oxidativa. A intensidade reduzida da banda em 1732 cm⁻¹ (C=O de hemicelulose) confirma o menor teor desse polissacarídeo em</w:t>
      </w:r>
      <w:r>
        <w:t xml:space="preserve"> </w:t>
      </w:r>
      <w:r>
        <w:rPr>
          <w:i/>
          <w:iCs/>
        </w:rPr>
        <w:t xml:space="preserve">Syagrus</w:t>
      </w:r>
      <w:r>
        <w:t xml:space="preserve">, implicando em menor disponibilidade de substrato facilmente degradável para microrganismos celulolíticos.</w:t>
      </w:r>
    </w:p>
    <w:p>
      <w:pPr>
        <w:pStyle w:val="Corpodetexto"/>
      </w:pPr>
      <w:r>
        <w:t xml:space="preserve">Adicionalmente,</w:t>
      </w:r>
      <w:r>
        <w:t xml:space="preserve"> </w:t>
      </w:r>
      <w:r>
        <w:rPr>
          <w:i/>
          <w:iCs/>
        </w:rPr>
        <w:t xml:space="preserve">Syagrus</w:t>
      </w:r>
      <w:r>
        <w:t xml:space="preserve"> </w:t>
      </w:r>
      <w:r>
        <w:t xml:space="preserve">apresenta bandas diagnósticas em 1234 cm⁻¹ (vibração assimétrica C-O-C do anel siringil) e 896 cm⁻¹ (deformação C-H da ligação β-glicosídica entre unidades de glicose na celulose), esta última indicativa de maior ordenamento cristalino da celulose</w:t>
      </w:r>
      <w:r>
        <w:t xml:space="preserve"> </w:t>
      </w:r>
      <w:r>
        <w:t xml:space="preserve">(Szymańska-Chargot et al., 2015)</w:t>
      </w:r>
      <w:r>
        <w:t xml:space="preserve">. A presença de ligações β(1→4) em conformação mais empacotada dificulta o acesso de celulases, enzimas responsáveis pela hidrólise das cadeias polissacarídicas. O sinal em 1234 cm⁻¹ reforça a predominância de estruturas siringílicas, cuja arquitetura molecular mais ramificada e condensada forma uma barreira físico-química efetiva contra a penetração de água e enzimas</w:t>
      </w:r>
      <w:r>
        <w:t xml:space="preserve"> </w:t>
      </w:r>
      <w:r>
        <w:t xml:space="preserve">(Boerjan et al., 2003; Faix, 1991; Shimizu et al., 2012)</w:t>
      </w:r>
      <w:r>
        <w:t xml:space="preserve">.</w:t>
      </w:r>
    </w:p>
    <w:p>
      <w:pPr>
        <w:pStyle w:val="Corpodetexto"/>
      </w:pPr>
      <w:r>
        <w:rPr>
          <w:b/>
          <w:bCs/>
        </w:rPr>
        <w:t xml:space="preserve">Figura 3.</w:t>
      </w:r>
      <w:r>
        <w:t xml:space="preserve"> </w:t>
      </w:r>
      <w:r>
        <w:t xml:space="preserve">Comparação de espectros FTIR entre</w:t>
      </w:r>
      <w:r>
        <w:t xml:space="preserve"> </w:t>
      </w:r>
      <w:r>
        <w:rPr>
          <w:i/>
          <w:iCs/>
        </w:rPr>
        <w:t xml:space="preserve">Typha domingensis</w:t>
      </w:r>
      <w:r>
        <w:t xml:space="preserve"> </w:t>
      </w:r>
      <w:r>
        <w:t xml:space="preserve">e</w:t>
      </w:r>
      <w:r>
        <w:t xml:space="preserve"> </w:t>
      </w:r>
      <w:r>
        <w:rPr>
          <w:i/>
          <w:iCs/>
        </w:rPr>
        <w:t xml:space="preserve">Syagrus coronata</w:t>
      </w:r>
      <w:r>
        <w:t xml:space="preserve">.</w:t>
      </w:r>
      <w:r>
        <w:t xml:space="preserve"> </w:t>
      </w:r>
      <w:r>
        <w:drawing>
          <wp:inline>
            <wp:extent cx="5600700" cy="3225978"/>
            <wp:effectExtent b="0" l="0" r="0" t="0"/>
            <wp:docPr descr="" title="" id="27" name="Picture"/>
            <a:graphic>
              <a:graphicData uri="http://schemas.openxmlformats.org/drawingml/2006/picture">
                <pic:pic>
                  <pic:nvPicPr>
                    <pic:cNvPr descr="../3-IMAGENS/figura_ftir_comparativa.png" id="28" name="Picture"/>
                    <pic:cNvPicPr>
                      <a:picLocks noChangeArrowheads="1" noChangeAspect="1"/>
                    </pic:cNvPicPr>
                  </pic:nvPicPr>
                  <pic:blipFill>
                    <a:blip r:embed="rId26"/>
                    <a:stretch>
                      <a:fillRect/>
                    </a:stretch>
                  </pic:blipFill>
                  <pic:spPr bwMode="auto">
                    <a:xfrm>
                      <a:off x="0" y="0"/>
                      <a:ext cx="5600700" cy="3225978"/>
                    </a:xfrm>
                    <a:prstGeom prst="rect">
                      <a:avLst/>
                    </a:prstGeom>
                    <a:noFill/>
                    <a:ln w="9525">
                      <a:noFill/>
                      <a:headEnd/>
                      <a:tailEnd/>
                    </a:ln>
                  </pic:spPr>
                </pic:pic>
              </a:graphicData>
            </a:graphic>
          </wp:inline>
        </w:drawing>
      </w:r>
    </w:p>
    <w:p>
      <w:pPr>
        <w:pStyle w:val="Corpodetexto"/>
      </w:pPr>
      <w:r>
        <w:rPr>
          <w:i/>
          <w:iCs/>
        </w:rPr>
        <w:t xml:space="preserve">Nota: As principais diferenças incluem: (i) maior intensidade da banda em 1735 cm⁻¹ em</w:t>
      </w:r>
      <w:r>
        <w:rPr>
          <w:i/>
          <w:iCs/>
        </w:rPr>
        <w:t xml:space="preserve"> </w:t>
      </w:r>
      <w:r>
        <w:t xml:space="preserve">Typha* associada ao maior teor de hemicelulose; (ii) banda característica em 1590 cm⁻¹ em</w:t>
      </w:r>
      <w:r>
        <w:t xml:space="preserve"> </w:t>
      </w:r>
      <w:r>
        <w:rPr>
          <w:i/>
          <w:iCs/>
        </w:rPr>
        <w:t xml:space="preserve">Syagrus</w:t>
      </w:r>
      <w:r>
        <w:t xml:space="preserve"> </w:t>
      </w:r>
      <w:r>
        <w:t xml:space="preserve">indicativa de lignina siringílica</w:t>
      </w:r>
      <w:r>
        <w:t xml:space="preserve"> </w:t>
      </w:r>
      <w:r>
        <w:t xml:space="preserve">(Boerjan et al., 2003; Faix, 1991)</w:t>
      </w:r>
      <w:r>
        <w:t xml:space="preserve">; (iii) bandas em 1234 cm⁻¹ (anel siringil) e 896 cm⁻¹ (β-glicosídica) mais evidentes em</w:t>
      </w:r>
      <w:r>
        <w:t xml:space="preserve"> </w:t>
      </w:r>
      <w:r>
        <w:rPr>
          <w:i/>
          <w:iCs/>
        </w:rPr>
        <w:t xml:space="preserve">Syagrus</w:t>
      </w:r>
      <w:r>
        <w:t xml:space="preserve"> </w:t>
      </w:r>
      <w:r>
        <w:t xml:space="preserve">(Szymańska-Chargot et al., 2015)</w:t>
      </w:r>
      <w:r>
        <w:t xml:space="preserve">; (iv) intensidade reduzida em 1732 cm⁻¹ para</w:t>
      </w:r>
      <w:r>
        <w:t xml:space="preserve"> </w:t>
      </w:r>
      <w:r>
        <w:rPr>
          <w:i/>
          <w:iCs/>
        </w:rPr>
        <w:t xml:space="preserve">Syagrus</w:t>
      </w:r>
      <w:r>
        <w:t xml:space="preserve"> </w:t>
      </w:r>
      <w:r>
        <w:t xml:space="preserve">refletindo menor teor de hemicelulose. Bandas comuns incluem 3300-3340 cm⁻¹ (O-H), 2920-2852 cm⁻¹ (C-H alifático) e 1035 cm⁻¹ (C-O celulose).*</w:t>
      </w:r>
    </w:p>
    <w:p>
      <w:pPr>
        <w:pStyle w:val="Corpodetexto"/>
      </w:pPr>
      <w:r>
        <w:t xml:space="preserve">Essa composição bioquímica diferenciada reflete-se diretamente na cinética de degradação.</w:t>
      </w:r>
      <w:r>
        <w:t xml:space="preserve"> </w:t>
      </w:r>
      <w:r>
        <w:t xml:space="preserve">L. D. V. e. colaboradores Santos (2023)</w:t>
      </w:r>
      <w:r>
        <w:t xml:space="preserve"> </w:t>
      </w:r>
      <w:r>
        <w:t xml:space="preserve">observaram que</w:t>
      </w:r>
      <w:r>
        <w:t xml:space="preserve"> </w:t>
      </w:r>
      <w:r>
        <w:rPr>
          <w:i/>
          <w:iCs/>
        </w:rPr>
        <w:t xml:space="preserve">Typha</w:t>
      </w:r>
      <w:r>
        <w:t xml:space="preserve"> </w:t>
      </w:r>
      <w:r>
        <w:t xml:space="preserve">perde 50% de sua resistência inicial em aproximadamente 60 dias sob condições de campo, enquanto</w:t>
      </w:r>
      <w:r>
        <w:t xml:space="preserve"> </w:t>
      </w:r>
      <w:r>
        <w:rPr>
          <w:i/>
          <w:iCs/>
        </w:rPr>
        <w:t xml:space="preserve">Syagrus</w:t>
      </w:r>
      <w:r>
        <w:t xml:space="preserve"> </w:t>
      </w:r>
      <w:r>
        <w:t xml:space="preserve">mantém integridade funcional por períodos superiores a 120 dias</w:t>
      </w:r>
      <w:r>
        <w:t xml:space="preserve"> </w:t>
      </w:r>
      <w:r>
        <w:t xml:space="preserve">(Holanda et al., 2025b)</w:t>
      </w:r>
      <w:r>
        <w:t xml:space="preserve">. Ensaios resultantes demostram que, a relação lignina/celulose (L/C) emerge como variável-mestre no controle da vida útil dos geotêxteis, sendo</w:t>
      </w:r>
      <w:r>
        <w:t xml:space="preserve"> </w:t>
      </w:r>
      <w:r>
        <w:rPr>
          <w:i/>
          <w:iCs/>
        </w:rPr>
        <w:t xml:space="preserve">Typha</w:t>
      </w:r>
      <w:r>
        <w:t xml:space="preserve"> </w:t>
      </w:r>
      <w:r>
        <w:t xml:space="preserve">(L/C ≈ 0,15) classificada como fibra de rápida degradação e</w:t>
      </w:r>
      <w:r>
        <w:t xml:space="preserve"> </w:t>
      </w:r>
      <w:r>
        <w:rPr>
          <w:i/>
          <w:iCs/>
        </w:rPr>
        <w:t xml:space="preserve">Syagrus</w:t>
      </w:r>
      <w:r>
        <w:t xml:space="preserve"> </w:t>
      </w:r>
      <w:r>
        <w:t xml:space="preserve">(L/C ≈ 0,67) como fibra de degradação lenta. Contudo, essa mesma diferença estrutural impõe trade-offs funcionais: a flexibilidade e capacidade de retenção hídrica de</w:t>
      </w:r>
      <w:r>
        <w:t xml:space="preserve"> </w:t>
      </w:r>
      <w:r>
        <w:rPr>
          <w:i/>
          <w:iCs/>
        </w:rPr>
        <w:t xml:space="preserve">Typha</w:t>
      </w:r>
      <w:r>
        <w:t xml:space="preserve"> </w:t>
      </w:r>
      <w:r>
        <w:t xml:space="preserve">a tornam ideal para aplicações que demandam rápida revegetação e posterior incorporação ao solo, enquanto a rigidez e durabilidade de</w:t>
      </w:r>
      <w:r>
        <w:t xml:space="preserve"> </w:t>
      </w:r>
      <w:r>
        <w:rPr>
          <w:i/>
          <w:iCs/>
        </w:rPr>
        <w:t xml:space="preserve">Syagrus</w:t>
      </w:r>
      <w:r>
        <w:t xml:space="preserve"> </w:t>
      </w:r>
      <w:r>
        <w:t xml:space="preserve">atendem projetos que requerem estabilização prolongada de taludes.</w:t>
      </w:r>
    </w:p>
    <w:p>
      <w:pPr>
        <w:pStyle w:val="Corpodetexto"/>
      </w:pPr>
      <w:r>
        <w:t xml:space="preserve">Embora a FTIR explique os grupos funcionais, é o arranjo cristalino obtido por difração de raios X (DRX, Figura 4) que define a integridade física.</w:t>
      </w:r>
      <w:r>
        <w:t xml:space="preserve"> </w:t>
      </w:r>
      <w:r>
        <w:t xml:space="preserve">Segal et al. (1959)</w:t>
      </w:r>
      <w:r>
        <w:t xml:space="preserve"> </w:t>
      </w:r>
      <w:r>
        <w:t xml:space="preserve">desenvolveram metodologia que revela índices de cristalinidade de 52% para</w:t>
      </w:r>
      <w:r>
        <w:t xml:space="preserve"> </w:t>
      </w:r>
      <w:r>
        <w:rPr>
          <w:i/>
          <w:iCs/>
        </w:rPr>
        <w:t xml:space="preserve">Typha</w:t>
      </w:r>
      <w:r>
        <w:t xml:space="preserve"> </w:t>
      </w:r>
      <w:r>
        <w:t xml:space="preserve">versus 46% para</w:t>
      </w:r>
      <w:r>
        <w:t xml:space="preserve"> </w:t>
      </w:r>
      <w:r>
        <w:rPr>
          <w:i/>
          <w:iCs/>
        </w:rPr>
        <w:t xml:space="preserve">Syagrus</w:t>
      </w:r>
      <w:r>
        <w:t xml:space="preserve">. Segundo</w:t>
      </w:r>
      <w:r>
        <w:t xml:space="preserve"> </w:t>
      </w:r>
      <w:r>
        <w:t xml:space="preserve">Boerjan et al. (2003)</w:t>
      </w:r>
      <w:r>
        <w:t xml:space="preserve">, esse contraste sugere que o teor elevado de lignina em</w:t>
      </w:r>
      <w:r>
        <w:t xml:space="preserve"> </w:t>
      </w:r>
      <w:r>
        <w:rPr>
          <w:i/>
          <w:iCs/>
        </w:rPr>
        <w:t xml:space="preserve">Syagrus</w:t>
      </w:r>
      <w:r>
        <w:t xml:space="preserve"> </w:t>
      </w:r>
      <w:r>
        <w:t xml:space="preserve">compensa a cristalinidade reduzida, atuando como agente de consolidação morfoquímica por preenchimento da matriz amorfa e aumento da rigidez. As fibras de</w:t>
      </w:r>
      <w:r>
        <w:t xml:space="preserve"> </w:t>
      </w:r>
      <w:r>
        <w:rPr>
          <w:i/>
          <w:iCs/>
        </w:rPr>
        <w:t xml:space="preserve">Typha domingensis</w:t>
      </w:r>
      <w:r>
        <w:t xml:space="preserve"> </w:t>
      </w:r>
      <w:r>
        <w:t xml:space="preserve">exibem picos característicos de celulose I nas posições 2θ ≈ 14,8° (plano 1-10/110), 16,4° (110) e 22,6° (200)</w:t>
      </w:r>
      <w:r>
        <w:t xml:space="preserve"> </w:t>
      </w:r>
      <w:r>
        <w:t xml:space="preserve">(Rowell et al., 1998)</w:t>
      </w:r>
      <w:r>
        <w:t xml:space="preserve">, correspondentes ao empacotamento da celulose cristalina.</w:t>
      </w:r>
    </w:p>
    <w:p>
      <w:pPr>
        <w:pStyle w:val="Corpodetexto"/>
      </w:pPr>
      <w:r>
        <w:t xml:space="preserve">Trabalhando com caracterização mecânica dessas fibras,</w:t>
      </w:r>
      <w:r>
        <w:t xml:space="preserve"> </w:t>
      </w:r>
      <w:r>
        <w:t xml:space="preserve">Fontes et al. (2021)</w:t>
      </w:r>
      <w:r>
        <w:t xml:space="preserve"> </w:t>
      </w:r>
      <w:r>
        <w:t xml:space="preserve">demonstraram que esse balanceamento composicional resulta em resistências à tração iniciais equiparáveis, sendo 3,14 N·mm⁻² para</w:t>
      </w:r>
      <w:r>
        <w:t xml:space="preserve"> </w:t>
      </w:r>
      <w:r>
        <w:rPr>
          <w:i/>
          <w:iCs/>
        </w:rPr>
        <w:t xml:space="preserve">Syagrus</w:t>
      </w:r>
      <w:r>
        <w:t xml:space="preserve"> </w:t>
      </w:r>
      <w:r>
        <w:t xml:space="preserve">e 3,57 N·mm⁻² para</w:t>
      </w:r>
      <w:r>
        <w:t xml:space="preserve"> </w:t>
      </w:r>
      <w:r>
        <w:rPr>
          <w:i/>
          <w:iCs/>
        </w:rPr>
        <w:t xml:space="preserve">Typha</w:t>
      </w:r>
      <w:r>
        <w:t xml:space="preserve"> </w:t>
      </w:r>
      <w:r>
        <w:t xml:space="preserve">não tratada. Essas variações estruturais detectadas por FTIR e TGA refletem diretamente na integridade das microfibrilas e, consequentemente, na resistência mecânica inicial dos geotêxteis.</w:t>
      </w:r>
    </w:p>
    <w:p>
      <w:pPr>
        <w:pStyle w:val="Corpodetexto"/>
      </w:pPr>
      <w:r>
        <w:rPr>
          <w:b/>
          <w:bCs/>
        </w:rPr>
        <w:t xml:space="preserve">Figura 4.</w:t>
      </w:r>
      <w:r>
        <w:t xml:space="preserve"> </w:t>
      </w:r>
      <w:r>
        <w:t xml:space="preserve">Difratograma de raios X (DRX) da fibra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drawing>
          <wp:inline>
            <wp:extent cx="3920490" cy="3243520"/>
            <wp:effectExtent b="0" l="0" r="0" t="0"/>
            <wp:docPr descr="" title="" id="30" name="Picture"/>
            <a:graphic>
              <a:graphicData uri="http://schemas.openxmlformats.org/drawingml/2006/picture">
                <pic:pic>
                  <pic:nvPicPr>
                    <pic:cNvPr descr="../3-IMAGENS/fig_drx.png" id="31" name="Picture"/>
                    <pic:cNvPicPr>
                      <a:picLocks noChangeArrowheads="1" noChangeAspect="1"/>
                    </pic:cNvPicPr>
                  </pic:nvPicPr>
                  <pic:blipFill>
                    <a:blip r:embed="rId29"/>
                    <a:stretch>
                      <a:fillRect/>
                    </a:stretch>
                  </pic:blipFill>
                  <pic:spPr bwMode="auto">
                    <a:xfrm>
                      <a:off x="0" y="0"/>
                      <a:ext cx="3920490" cy="3243520"/>
                    </a:xfrm>
                    <a:prstGeom prst="rect">
                      <a:avLst/>
                    </a:prstGeom>
                    <a:noFill/>
                    <a:ln w="9525">
                      <a:noFill/>
                      <a:headEnd/>
                      <a:tailEnd/>
                    </a:ln>
                  </pic:spPr>
                </pic:pic>
              </a:graphicData>
            </a:graphic>
          </wp:inline>
        </w:drawing>
      </w:r>
    </w:p>
    <w:p>
      <w:pPr>
        <w:pStyle w:val="Corpodetexto"/>
      </w:pPr>
      <w:r>
        <w:t xml:space="preserve">A estabilidade térmica superior de</w:t>
      </w:r>
      <w:r>
        <w:t xml:space="preserve"> </w:t>
      </w:r>
      <w:r>
        <w:rPr>
          <w:i/>
          <w:iCs/>
        </w:rPr>
        <w:t xml:space="preserve">Syagrus</w:t>
      </w:r>
      <w:r>
        <w:t xml:space="preserve">, decorrente dessa densidade de lignina, traduz-se diretamente no potencial de sequestro de carbono. Análises termogravimétricas sob atmosfera oxidativa (ar, 10 °C·min⁻¹) indicam que</w:t>
      </w:r>
      <w:r>
        <w:t xml:space="preserve"> </w:t>
      </w:r>
      <w:r>
        <w:rPr>
          <w:i/>
          <w:iCs/>
        </w:rPr>
        <w:t xml:space="preserve">Syagrus</w:t>
      </w:r>
      <w:r>
        <w:t xml:space="preserve"> </w:t>
      </w:r>
      <w:r>
        <w:t xml:space="preserve">retém ~28% de massa residual a 600 °C (carvão por condensação de lignina), versus ~21% para</w:t>
      </w:r>
      <w:r>
        <w:t xml:space="preserve"> </w:t>
      </w:r>
      <w:r>
        <w:rPr>
          <w:i/>
          <w:iCs/>
        </w:rPr>
        <w:t xml:space="preserve">Typha</w:t>
      </w:r>
      <w:r>
        <w:t xml:space="preserve"> </w:t>
      </w:r>
      <w:r>
        <w:t xml:space="preserve">(Rowell et al., 1998)</w:t>
      </w:r>
      <w:r>
        <w:t xml:space="preserve">. Essa diferença correlaciona-se com a persistência observada em campo de esqueletos fibrosos de</w:t>
      </w:r>
      <w:r>
        <w:t xml:space="preserve"> </w:t>
      </w:r>
      <w:r>
        <w:rPr>
          <w:i/>
          <w:iCs/>
        </w:rPr>
        <w:t xml:space="preserve">Syagrus</w:t>
      </w:r>
      <w:r>
        <w:t xml:space="preserve"> </w:t>
      </w:r>
      <w:r>
        <w:t xml:space="preserve">após 180 dias, sugerindo potencial para sequestro de carbono no solo a longo prazo, estimado em 0,8–1,2 Mg C·ha⁻¹ pós-degradação, dependendo da densidade de implantação</w:t>
      </w:r>
      <w:r>
        <w:t xml:space="preserve"> </w:t>
      </w:r>
      <w:r>
        <w:t xml:space="preserve">(</w:t>
      </w:r>
      <w:r>
        <w:t xml:space="preserve">L. D. V. Santos &amp; colaboradores</w:t>
      </w:r>
      <w:r>
        <w:t xml:space="preserve">, 2023)</w:t>
      </w:r>
      <w:r>
        <w:t xml:space="preserve">.</w:t>
      </w:r>
    </w:p>
    <w:bookmarkEnd w:id="32"/>
    <w:bookmarkStart w:id="33" w:name="X337bce321c3e9629cb4f06cb115e8bb983ff45e"/>
    <w:p>
      <w:pPr>
        <w:pStyle w:val="Ttulo3"/>
      </w:pPr>
      <w:r>
        <w:t xml:space="preserve">2.2. Hidrofilicidade, Biodegradação e a Definição de Vida Útil Funcional</w:t>
      </w:r>
    </w:p>
    <w:p>
      <w:pPr>
        <w:pStyle w:val="FirstParagraph"/>
      </w:pPr>
      <w:r>
        <w:t xml:space="preserve">A onipresença de grupos funcionais hidroxila (-OH) nas superfícies de celulose e hemicelulose confere uma hidrofilia acentuada (ângulo de contato com água &lt;30°), facilitando a entrada de umidade e estabelecendo condições microambientais propícias à proliferação microbiana. Microscopia eletrônica de varredura (MEV) de amostras expostas em campo por 60 dias revela densa colonização fûngica (</w:t>
      </w:r>
      <w:r>
        <w:rPr>
          <w:i/>
          <w:iCs/>
        </w:rPr>
        <w:t xml:space="preserve">Aspergillus</w:t>
      </w:r>
      <w:r>
        <w:t xml:space="preserve">,</w:t>
      </w:r>
      <w:r>
        <w:t xml:space="preserve"> </w:t>
      </w:r>
      <w:r>
        <w:rPr>
          <w:i/>
          <w:iCs/>
        </w:rPr>
        <w:t xml:space="preserve">Trichoderma</w:t>
      </w:r>
      <w:r>
        <w:t xml:space="preserve"> </w:t>
      </w:r>
      <w:r>
        <w:t xml:space="preserve">spp.) nas camadas celulares corticais, com penetração hifal superior a 200 µm.</w:t>
      </w:r>
    </w:p>
    <w:p>
      <w:pPr>
        <w:pStyle w:val="Corpodetexto"/>
      </w:pPr>
      <w:r>
        <w:t xml:space="preserve">Essa invassão microbiana correlaciona-se com atividade extracelular de celulase (endoglucanase, celobiohidrolase) entre 12–18 U·g⁻¹ de fibra seca, conforme quantificado por ensaios enzimáticos</w:t>
      </w:r>
      <w:r>
        <w:t xml:space="preserve"> </w:t>
      </w:r>
      <w:r>
        <w:t xml:space="preserve">(Ghose, 1987; Hatakka &amp; Hammel, 2011; Vries et al., 2010)</w:t>
      </w:r>
      <w:r>
        <w:t xml:space="preserve">. Tais níveis enzimáticos são suficientes para clivar ligações β-1,4-glicosidicas a taxas de perda de massa de 0,5–1,0% por dia, explicando a trajetória de degradação observada em fibras não tratadas.</w:t>
      </w:r>
    </w:p>
    <w:p>
      <w:pPr>
        <w:pStyle w:val="Corpodetexto"/>
      </w:pPr>
      <w:r>
        <w:t xml:space="preserve">Schneider et al.</w:t>
      </w:r>
      <w:r>
        <w:t xml:space="preserve"> </w:t>
      </w:r>
      <w:r>
        <w:t xml:space="preserve">(2023)</w:t>
      </w:r>
      <w:r>
        <w:t xml:space="preserve"> </w:t>
      </w:r>
      <w:r>
        <w:t xml:space="preserve">observaram que a biodegradação de fibras lignocelulósicas ocorre por dois mecanismos simultâneos, a erosão superficial por ataque enzimático inicial a partir da cutícula e penetração radial por hifas fúngicas que criam túneis microscópicos e zonas de cavitação sob tração.</w:t>
      </w:r>
      <w:r>
        <w:t xml:space="preserve"> </w:t>
      </w:r>
      <w:r>
        <w:t xml:space="preserve">Nilsson &amp; Daniel (1988)</w:t>
      </w:r>
      <w:r>
        <w:t xml:space="preserve"> </w:t>
      </w:r>
      <w:r>
        <w:t xml:space="preserve">documentaram por SEM a predominância inicial de erosão superficial nos primeiros 30 dias, evoluindo para penetração radial que rompe a lâmela média lignificada em estágios subsequentes.</w:t>
      </w:r>
    </w:p>
    <w:p>
      <w:pPr>
        <w:pStyle w:val="Corpodetexto"/>
      </w:pPr>
      <w:r>
        <w:t xml:space="preserve">A análise termogravimétrica (TGA) de fibras lignocelulósicas degradadas revela perfil de decomposição bimodal característico, com ombro inicial entre 220–280°C correspondente à pirólise da hemicelulose, que diminui progressivamente com o tempo de exposição ambiental</w:t>
      </w:r>
      <w:r>
        <w:t xml:space="preserve"> </w:t>
      </w:r>
      <w:r>
        <w:t xml:space="preserve">(C. R. Cardoso &amp; Ataíde, 2023)</w:t>
      </w:r>
      <w:r>
        <w:t xml:space="preserve">. O pico principal de celulose (300–360°C) desloca-se para temperaturas mais baixas durante a biodegradação, evidenciando despolimerização progressiva, enquanto a fração de lignina (&gt;400°C) permanece relativamente invariante, confirmando seu papel como resíduo recalcitrante que persiste pós-degradação e contribui para o acúmulo de matéria orgânica no solo</w:t>
      </w:r>
      <w:r>
        <w:t xml:space="preserve"> </w:t>
      </w:r>
      <w:r>
        <w:t xml:space="preserve">(</w:t>
      </w:r>
      <w:r>
        <w:t xml:space="preserve">Leng et al.</w:t>
      </w:r>
      <w:r>
        <w:t xml:space="preserve">, 2020)</w:t>
      </w:r>
      <w:r>
        <w:t xml:space="preserve">.</w:t>
      </w:r>
    </w:p>
    <w:p>
      <w:pPr>
        <w:pStyle w:val="Corpodetexto"/>
      </w:pPr>
      <w:r>
        <w:t xml:space="preserve">Os dados experimentais de geotêxteis naturais confirmam a influência da arquitetura química sobre as propriedades mecânicas iniciais. O Ouricuri (</w:t>
      </w:r>
      <w:r>
        <w:rPr>
          <w:i/>
          <w:iCs/>
        </w:rPr>
        <w:t xml:space="preserve">Syagrus coronata</w:t>
      </w:r>
      <w:r>
        <w:t xml:space="preserve">), com razão lignina/celulose superior, apresentou resistência à tração inicial significativamente maior que a Taboa (</w:t>
      </w:r>
      <w:r>
        <w:rPr>
          <w:i/>
          <w:iCs/>
        </w:rPr>
        <w:t xml:space="preserve">Typha domingensis</w:t>
      </w:r>
      <w:r>
        <w:t xml:space="preserve">)</w:t>
      </w:r>
      <w:r>
        <w:t xml:space="preserve"> </w:t>
      </w:r>
      <w:r>
        <w:t xml:space="preserve">(</w:t>
      </w:r>
      <w:r>
        <w:rPr>
          <w:b/>
          <w:bCs/>
        </w:rPr>
        <w:t xml:space="preserve">Holanda2013?</w:t>
      </w:r>
      <w:r>
        <w:t xml:space="preserve">)</w:t>
      </w:r>
      <w:r>
        <w:t xml:space="preserve">. Contudo, esta vantagem inicial não se traduziu em durabilidade estendida, o Ouricuri sofreu colapso estrutural abrupto aos 30 dias com perda de 65% da resistência, enquanto a Taboa manteve degradação linear previsível até 120 dias.</w:t>
      </w:r>
    </w:p>
    <w:p>
      <w:pPr>
        <w:pStyle w:val="Corpodetexto"/>
      </w:pPr>
      <w:r>
        <w:t xml:space="preserve">A divergencia observada entre a recalcitrância química teórica e o desempenho temporal indica que a resistência à biodegradação não depende exclusivamente da quantidade total de lignina, mas de sua organização estrutural dentro da parede celular</w:t>
      </w:r>
      <w:r>
        <w:t xml:space="preserve"> </w:t>
      </w:r>
      <w:r>
        <w:t xml:space="preserve">(</w:t>
      </w:r>
      <w:r>
        <w:t xml:space="preserve">Silva et al.</w:t>
      </w:r>
      <w:r>
        <w:t xml:space="preserve">, 2025)</w:t>
      </w:r>
      <w:r>
        <w:t xml:space="preserve">. Estudos de</w:t>
      </w:r>
      <w:r>
        <w:t xml:space="preserve"> </w:t>
      </w:r>
      <w:r>
        <w:t xml:space="preserve">Souza et al. (2019)</w:t>
      </w:r>
      <w:r>
        <w:t xml:space="preserve"> </w:t>
      </w:r>
      <w:r>
        <w:t xml:space="preserve">demonstraram que a lignina apresenta distribuição espacial heterogênea nas camadas da parede celular, concentrando-se principalmente na lamela média e nos cantos celulares, regiões responsáveis pela coesão estrutural do tecido.</w:t>
      </w:r>
    </w:p>
    <w:p>
      <w:pPr>
        <w:pStyle w:val="Corpodetexto"/>
      </w:pPr>
      <w:r>
        <w:t xml:space="preserve">Essa heterogeneidade define zonas de maior e menor acessibilidade enzimática, modulando a penetração de microrganismos degradadores. De modo semelhante,</w:t>
      </w:r>
      <w:r>
        <w:t xml:space="preserve"> </w:t>
      </w:r>
      <w:r>
        <w:t xml:space="preserve">Blanchette (1995)</w:t>
      </w:r>
      <w:r>
        <w:t xml:space="preserve"> </w:t>
      </w:r>
      <w:r>
        <w:t xml:space="preserve">descreveu que a lignina atua como barreira física à ação de enzimas lignocelulolíticas, não apenas por sua abundância, mas pela forma como se intercala à matriz de celulose e hemicelulose.</w:t>
      </w:r>
    </w:p>
    <w:p>
      <w:pPr>
        <w:pStyle w:val="Corpodetexto"/>
      </w:pPr>
      <w:r>
        <w:t xml:space="preserve">Neste sentido, a resistência à degradação biológica é governada tanto pela proporção relativa quanto pela distribuição tridimensional da lignina na parede celular, o que explica por que materiais com teores semelhantes de lignina podem apresentar durabilidades significativamente distintas.</w:t>
      </w:r>
    </w:p>
    <w:p>
      <w:pPr>
        <w:pStyle w:val="Corpodetexto"/>
      </w:pPr>
      <w:r>
        <w:t xml:space="preserve">A análise da cinética de degradação dos geotêxteis de fibras naturais evidencia a limitação das normas tradicionais, que avaliam o desempenho apenas pela resistência média à tração inicial. Estudos mostram que essas especificações ignoram a variabilidade estocástica dos materiais biológicos e a perda progressiva de resistência ao longo do tempo.</w:t>
      </w:r>
      <w:r>
        <w:t xml:space="preserve"> </w:t>
      </w:r>
      <w:r>
        <w:t xml:space="preserve">Carvalho et al. (2014)</w:t>
      </w:r>
      <w:r>
        <w:t xml:space="preserve"> </w:t>
      </w:r>
      <w:r>
        <w:t xml:space="preserve">observaram redução significativa da resistência mecânica sob envelhecimento e exposição ao solo.</w:t>
      </w:r>
    </w:p>
    <w:p>
      <w:pPr>
        <w:pStyle w:val="Corpodetexto"/>
      </w:pPr>
      <w:r>
        <w:t xml:space="preserve">Essa estrutura determinística mostra-se inadequada para fibras naturais, onde coeficientes de variação (CV) entre amostras excedem 25% e a perda de resistência ao longo do tempo não é linear. A superação desses critérios determinísticos demanda redefinição da Vida Útil Funcional (VUF) como parâmetro probabilístico, representando a duração durante a qual 90% dos geotêxteis implantados mantém capacidade de suportar carga acima de um limite crítico (tipicamente 1,5 kN·m⁻¹ para aplicações em taludes)</w:t>
      </w:r>
      <w:r>
        <w:t xml:space="preserve"> </w:t>
      </w:r>
      <w:r>
        <w:t xml:space="preserve">(Curtin, 2000)</w:t>
      </w:r>
      <w:r>
        <w:t xml:space="preserve">. A VUF é estatisticamente limitada pelo 10º percentil (</w:t>
      </w:r>
      <m:oMath>
        <m:sSub>
          <m:e>
            <m:r>
              <m:t>P</m:t>
            </m:r>
          </m:e>
          <m:sub>
            <m:r>
              <m:t>10</m:t>
            </m:r>
          </m:sub>
        </m:sSub>
      </m:oMath>
      <w:r>
        <w:t xml:space="preserve">) da distribuição de falhas de Weibull pode ser expressa como:</w:t>
      </w:r>
    </w:p>
    <w:p>
      <w:pPr>
        <w:pStyle w:val="Corpodetexto"/>
      </w:pPr>
      <m:oMathPara>
        <m:oMathParaPr>
          <m:jc m:val="center"/>
        </m:oMathParaPr>
        <m:oMath>
          <m:r>
            <m:t>P</m:t>
          </m:r>
          <m:r>
            <m:rPr>
              <m:sty m:val="p"/>
            </m:rPr>
            <m:t>(</m:t>
          </m:r>
          <m:r>
            <m:t>t</m:t>
          </m:r>
          <m:r>
            <m:rPr>
              <m:sty m:val="p"/>
            </m:rPr>
            <m:t>)</m:t>
          </m:r>
          <m:r>
            <m:rPr>
              <m:sty m:val="p"/>
            </m:rPr>
            <m:t>=</m:t>
          </m:r>
          <m:r>
            <m:t>1</m:t>
          </m:r>
          <m:r>
            <m:rPr>
              <m:sty m:val="p"/>
            </m:rPr>
            <m:t>−</m:t>
          </m:r>
          <m:r>
            <m:rPr>
              <m:sty m:val="p"/>
            </m:rPr>
            <m:t>exp</m:t>
          </m:r>
          <m:d>
            <m:dPr>
              <m:begChr m:val="["/>
              <m:sepChr m:val=""/>
              <m:endChr m:val="]"/>
              <m:grow/>
            </m:dPr>
            <m:e>
              <m:r>
                <m:rPr>
                  <m:sty m:val="p"/>
                </m:rPr>
                <m:t>−</m:t>
              </m:r>
              <m:sSup>
                <m:e>
                  <m:d>
                    <m:dPr>
                      <m:begChr m:val="("/>
                      <m:sepChr m:val=""/>
                      <m:endChr m:val=")"/>
                      <m:grow/>
                    </m:dPr>
                    <m:e>
                      <m:f>
                        <m:fPr>
                          <m:type m:val="bar"/>
                        </m:fPr>
                        <m:num>
                          <m:r>
                            <m:t>t</m:t>
                          </m:r>
                        </m:num>
                        <m:den>
                          <m:r>
                            <m:t>η</m:t>
                          </m:r>
                        </m:den>
                      </m:f>
                    </m:e>
                  </m:d>
                </m:e>
                <m:sup>
                  <m:r>
                    <m:t>β</m:t>
                  </m:r>
                </m:sup>
              </m:sSup>
            </m:e>
          </m:d>
        </m:oMath>
      </m:oMathPara>
    </w:p>
    <w:p>
      <w:pPr>
        <w:pStyle w:val="FirstParagraph"/>
      </w:pPr>
      <w:r>
        <w:t xml:space="preserve">Onde η representa o parâmetro de escala (vida característica) e β o parâmetro de forma (descritor do modo de falha). A aplicação desse modelo a fibras de</w:t>
      </w:r>
      <w:r>
        <w:t xml:space="preserve"> </w:t>
      </w:r>
      <w:r>
        <w:rPr>
          <w:i/>
          <w:iCs/>
        </w:rPr>
        <w:t xml:space="preserve">Typha</w:t>
      </w:r>
      <w:r>
        <w:t xml:space="preserve"> </w:t>
      </w:r>
      <w:r>
        <w:t xml:space="preserve">não tratadas resulta em β = 2,3 (indicando falha por desgaste) e η = 68 dias, produzindo P₁₀ = 42 dias como VUF em condições de campo.</w:t>
      </w:r>
    </w:p>
    <w:p>
      <w:pPr>
        <w:pStyle w:val="Corpodetexto"/>
      </w:pPr>
      <w:r>
        <w:t xml:space="preserve">O tratamento alcalino (6% NaOH) desloca a distribuição para a direita, resultando em β = 2,8 e η = 142 dias, estendendo a VUF para 95 dias. A aplicação de resina acrílica de camada única aumenta ainda mais η para 187 dias (P₁₀ = 128 dias), aproximando-se do limiar de estabelecimento da vegetação de 180 dias necessário para que redes radiculares a exemplo o</w:t>
      </w:r>
      <w:r>
        <w:t xml:space="preserve"> </w:t>
      </w:r>
      <w:r>
        <w:rPr>
          <w:i/>
          <w:iCs/>
        </w:rPr>
        <w:t xml:space="preserve">Chrysopogon zizanioides</w:t>
      </w:r>
      <w:r>
        <w:t xml:space="preserve">, atinjam resistência à tração entre 15 e 25 kN·m⁻¹.</w:t>
      </w:r>
    </w:p>
    <w:p>
      <w:pPr>
        <w:pStyle w:val="Corpodetexto"/>
      </w:pPr>
      <w:r>
        <w:t xml:space="preserve">Essa estrutura de VUF permite projeto baseado em confiabilidade, onde as especificações do geotêxtil consideram simultaneamente a cinética de degradação e a variabilidade da carga. Modelos Lineares Generalizados (GLM) que incorporam tempo, tratamento e relação L/C como covariáveis prevêem a evolução da resistência à tração com R² = 0,87, conforme a expressão:</w:t>
      </w:r>
    </w:p>
    <w:p>
      <w:pPr>
        <w:pStyle w:val="Corpodetexto"/>
      </w:pPr>
      <m:oMathPara>
        <m:oMathParaPr>
          <m:jc m:val="center"/>
        </m:oMathParaP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r>
            <m:rPr>
              <m:sty m:val="p"/>
            </m:rPr>
            <m:t>(</m:t>
          </m:r>
          <m:r>
            <m:t>1</m:t>
          </m:r>
          <m:r>
            <m:rPr>
              <m:sty m:val="p"/>
            </m:rPr>
            <m:t>+</m:t>
          </m:r>
          <m:r>
            <m:t>0</m:t>
          </m:r>
          <m:r>
            <m:rPr>
              <m:sty m:val="p"/>
            </m:rPr>
            <m:t>,</m:t>
          </m:r>
          <m:r>
            <m:t>30</m:t>
          </m:r>
          <m:r>
            <m:rPr>
              <m:sty m:val="p"/>
            </m:rPr>
            <m:t>⋅</m:t>
          </m:r>
          <m:sSub>
            <m:e>
              <m:r>
                <m:rPr>
                  <m:nor/>
                  <m:sty m:val="p"/>
                </m:rPr>
                <m:t>UV</m:t>
              </m:r>
            </m:e>
            <m:sub>
              <m:r>
                <m:rPr>
                  <m:nor/>
                  <m:sty m:val="p"/>
                </m:rPr>
                <m:t>índice</m:t>
              </m:r>
            </m:sub>
          </m:sSub>
          <m:r>
            <m:rPr>
              <m:sty m:val="p"/>
            </m:rPr>
            <m:t>)</m:t>
          </m:r>
          <m:r>
            <m:rPr>
              <m:sty m:val="p"/>
            </m:rPr>
            <m:t>]</m:t>
          </m:r>
        </m:oMath>
      </m:oMathPara>
    </w:p>
    <w:p>
      <w:pPr>
        <w:pStyle w:val="FirstParagraph"/>
      </w:pPr>
      <w:r>
        <w:t xml:space="preserve">Onde</w:t>
      </w:r>
      <w:r>
        <w:t xml:space="preserve"> </w:t>
      </w:r>
      <m:oMath>
        <m:sSub>
          <m:e>
            <m:r>
              <m:t>σ</m:t>
            </m:r>
          </m:e>
          <m:sub>
            <m:r>
              <m:t>0</m:t>
            </m:r>
          </m:sub>
        </m:sSub>
      </m:oMath>
      <w:r>
        <w:t xml:space="preserve"> </w:t>
      </w:r>
      <w:r>
        <w:t xml:space="preserve">é a resistência inicial,</w:t>
      </w:r>
      <w:r>
        <w:t xml:space="preserve"> </w:t>
      </w:r>
      <m:oMath>
        <m:r>
          <m:t>k</m:t>
        </m:r>
      </m:oMath>
      <w:r>
        <w:t xml:space="preserve"> </w:t>
      </w:r>
      <w:r>
        <w:t xml:space="preserve">é a constante de degradação (modulada por L/C) e</w:t>
      </w:r>
      <w:r>
        <w:t xml:space="preserve"> </w:t>
      </w:r>
      <m:oMath>
        <m:sSub>
          <m:e>
            <m:r>
              <m:rPr>
                <m:nor/>
                <m:sty m:val="p"/>
              </m:rPr>
              <m:t>UV</m:t>
            </m:r>
          </m:e>
          <m:sub>
            <m:r>
              <m:rPr>
                <m:nor/>
                <m:sty m:val="p"/>
              </m:rPr>
              <m:t>índice</m:t>
            </m:r>
          </m:sub>
        </m:sSub>
      </m:oMath>
      <w:r>
        <w:t xml:space="preserve"> </w:t>
      </w:r>
      <w:r>
        <w:t xml:space="preserve">quantifica a fotodegradação acelerada sob insolação tropical (6–8 kWh·m⁻²·dia⁻¹). Parâmetros de referência (campo):</w:t>
      </w:r>
      <w:r>
        <w:t xml:space="preserve"> </w:t>
      </w:r>
      <w:r>
        <w:rPr>
          <w:i/>
          <w:iCs/>
        </w:rPr>
        <w:t xml:space="preserve">Typha</w:t>
      </w:r>
      <w:r>
        <w:t xml:space="preserve"> </w:t>
      </w:r>
      <w:r>
        <w:t xml:space="preserve">não tratada β = 2,3; η = 68 dias;</w:t>
      </w:r>
      <w:r>
        <w:t xml:space="preserve"> </w:t>
      </w:r>
      <m:oMath>
        <m:sSub>
          <m:e>
            <m:r>
              <m:t>P</m:t>
            </m:r>
          </m:e>
          <m:sub>
            <m:r>
              <m:t>10</m:t>
            </m:r>
          </m:sub>
        </m:sSub>
      </m:oMath>
      <w:r>
        <w:t xml:space="preserve"> </w:t>
      </w:r>
      <w:r>
        <w:t xml:space="preserve">= 42 dias. Com 6% NaOH: β = 2,8; η = 142 dias;</w:t>
      </w:r>
      <w:r>
        <w:t xml:space="preserve"> </w:t>
      </w:r>
      <m:oMath>
        <m:sSub>
          <m:e>
            <m:r>
              <m:t>P</m:t>
            </m:r>
          </m:e>
          <m:sub>
            <m:r>
              <m:t>10</m:t>
            </m:r>
          </m:sub>
        </m:sSub>
      </m:oMath>
      <w:r>
        <w:t xml:space="preserve"> </w:t>
      </w:r>
      <w:r>
        <w:t xml:space="preserve">= 95 dias. Resina monocamada em</w:t>
      </w:r>
      <w:r>
        <w:t xml:space="preserve"> </w:t>
      </w:r>
      <w:r>
        <w:rPr>
          <w:i/>
          <w:iCs/>
        </w:rPr>
        <w:t xml:space="preserve">Syagrus</w:t>
      </w:r>
      <w:r>
        <w:t xml:space="preserve">: η = 187 dias;</w:t>
      </w:r>
      <w:r>
        <w:t xml:space="preserve"> </w:t>
      </w:r>
      <m:oMath>
        <m:sSub>
          <m:e>
            <m:r>
              <m:t>P</m:t>
            </m:r>
          </m:e>
          <m:sub>
            <m:r>
              <m:t>10</m:t>
            </m:r>
          </m:sub>
        </m:sSub>
      </m:oMath>
      <w:r>
        <w:t xml:space="preserve"> </w:t>
      </w:r>
      <w:r>
        <w:t xml:space="preserve">= 128 dias.</w:t>
      </w:r>
    </w:p>
    <w:bookmarkEnd w:id="33"/>
    <w:bookmarkEnd w:id="34"/>
    <w:bookmarkStart w:id="40" w:name="engenharia-da-durabilidade"/>
    <w:p>
      <w:pPr>
        <w:pStyle w:val="Ttulo2"/>
      </w:pPr>
      <w:r>
        <w:t xml:space="preserve">3. Engenharia da Durabilidade</w:t>
      </w:r>
    </w:p>
    <w:bookmarkStart w:id="38" w:name="Xbc0c83e4cfa9f03300e7159282a0d4cb8d49dad"/>
    <w:p>
      <w:pPr>
        <w:pStyle w:val="Ttulo3"/>
      </w:pPr>
      <w:r>
        <w:t xml:space="preserve">3.1. Modificação de Superfície: Mercerização Alcalina e Revestimentos Poliméricos</w:t>
      </w:r>
    </w:p>
    <w:p>
      <w:pPr>
        <w:pStyle w:val="FirstParagraph"/>
      </w:pPr>
      <w:r>
        <w:t xml:space="preserve">A mercerização com hidróxido de sódio (NaOH) promove deslignificação seletiva e solubilização parcial das hemiceluloses, resultando na exposição de microfibrilas de celulose cristalina e na consequente redução da hidrofilicidade superficial</w:t>
      </w:r>
      <w:r>
        <w:t xml:space="preserve"> </w:t>
      </w:r>
      <w:r>
        <w:t xml:space="preserve">(Verma &amp; Goh, 2021)</w:t>
      </w:r>
      <w:r>
        <w:t xml:space="preserve">. Essa modificação química e estrutural refletiu-se diretamente nas propriedades mecânicas das fibras, evidenciando um comportamento não monotônico entre a resistência à tração e a concentração de NaOH (Tabela 2).</w:t>
      </w:r>
    </w:p>
    <w:p>
      <w:pPr>
        <w:pStyle w:val="Corpodetexto"/>
      </w:pPr>
      <w:r>
        <w:t xml:space="preserve">A mercerização com hidróxido de sódio (NaOH) promove a remoção (ou atenuação) de componentes não celulósicos, expondo microfibrilas de celulose cristalina e alterando a morfologia e superfície das fibras</w:t>
      </w:r>
      <w:r>
        <w:t xml:space="preserve"> </w:t>
      </w:r>
      <w:r>
        <w:t xml:space="preserve">(Ray et al., 2002; Thakur et al., 2019)</w:t>
      </w:r>
      <w:r>
        <w:t xml:space="preserve">. Essa modificação químico-estrutural tende a reduzir impurezas superficiais e heterogeneidades, favorecendo melhor arranjo inter e intrafibrilar e aumentando a adesão interfacial quando integradas a matrizes compósitas, bem como a estabilidade estrutural da celulose tratada</w:t>
      </w:r>
      <w:r>
        <w:t xml:space="preserve"> </w:t>
      </w:r>
      <w:r>
        <w:t xml:space="preserve">(Ikramullah et al., 2018)</w:t>
      </w:r>
      <w:r>
        <w:t xml:space="preserve">.</w:t>
      </w:r>
    </w:p>
    <w:p>
      <w:pPr>
        <w:pStyle w:val="Corpodetexto"/>
      </w:pPr>
      <w:r>
        <w:t xml:space="preserve">Em nossos experimentos, a reestruturação morfológica das fibras refletiu-se em uma relação não monotônica entre resistência mecânica e concentração alcalina. As fibras não tratadas apresentaram uma resistência à tração (UTS) média de 18,88 N·mm⁻², enquanto o tratamento com 3 % de NaOH resultou em 17,62 N·mm⁻², diferença estatisticamente não significativa. A concentração de 6 % de NaOH elevou a UTS para 21,39 N·mm⁻², representando um aumento de 13,3 % em relação ao controle e acompanhado de incremento na resistência à punção.</w:t>
      </w:r>
    </w:p>
    <w:p>
      <w:pPr>
        <w:pStyle w:val="Corpodetexto"/>
      </w:pPr>
      <w:r>
        <w:t xml:space="preserve">Segundo</w:t>
      </w:r>
      <w:r>
        <w:t xml:space="preserve"> </w:t>
      </w:r>
      <w:r>
        <w:t xml:space="preserve">Oushabi et al. (2017)</w:t>
      </w:r>
      <w:r>
        <w:t xml:space="preserve">, trabalhando com fibras de tamareira (Phoenix dactylifera), o tratamento com 5% de NaOH produziu aumento de 76% na resistência à tração comparado às fibras brutas, resultado atribuído à remoção efetiva de materiais não celulósicos e exposição de microfibrilas de celulose. Esse comportamento indica que concentrações intermediárias são suficientes para remover lignina e hemicelulose sem degradar a celulose cristalina, resultando em uma rede fibrilar mais coesa e eficiente na transferência de carga</w:t>
      </w:r>
      <w:r>
        <w:t xml:space="preserve"> </w:t>
      </w:r>
      <w:r>
        <w:t xml:space="preserve">(Koistinen et al., 2024)</w:t>
      </w:r>
      <w:r>
        <w:t xml:space="preserve">. A revisão de</w:t>
      </w:r>
      <w:r>
        <w:t xml:space="preserve"> </w:t>
      </w:r>
      <w:r>
        <w:t xml:space="preserve">Narayana &amp; Rao (2021)</w:t>
      </w:r>
      <w:r>
        <w:t xml:space="preserve"> </w:t>
      </w:r>
      <w:r>
        <w:t xml:space="preserve">consolida que tratamentos alcalinos em fibras naturais promovem esse equilíbrio ao reduzir impurezas superficiais, melhorar a molhabilidade e aumentar a adesão interfacial, removendo seletivamente componentes amorfos e expondo microfibrilas de celulose sem comprometer a estrutura cristalina.</w:t>
      </w:r>
    </w:p>
    <w:p>
      <w:pPr>
        <w:pStyle w:val="Corpodetexto"/>
      </w:pPr>
      <w:r>
        <w:t xml:space="preserve">Contudo, a 9 % NaOH, apesar de um novo ganho na UTS (22,49 N·mm⁻²), foi acompanhado de sinais de degradação da estrutura como corrosão superficial e provável despolimerização, o que se manifestou como fragilidade mecânica e apenas modesta melhora na resistência à punção (Tabela 2). Este comportamento de elevação da resistência até um ponto ótimo e degradação além dele, pode esta associado aos efeitos dos tratamentos com alto indices alcalinos, que eliminam impurezas e promovem rearranjo cristalino, mas em concentrações muito altas podem causar degradação da matriz celular</w:t>
      </w:r>
      <w:r>
        <w:t xml:space="preserve"> </w:t>
      </w:r>
      <w:r>
        <w:t xml:space="preserve">(Nayan et al., 2014; Verma &amp; Goh, 2021)</w:t>
      </w:r>
      <w:r>
        <w:t xml:space="preserve">. Assim, os resultados corroboram a mecânica esperada de um “trade-off” entre a limpeza da estrutura e a preservação da integridade polimérica, que existe uma janela ótima de concentração de NaOH (no nosso caso, ~ 6 %) onde os benefícios da deslignificação superam os riscos de dano estrutural, maximizando o desempenho mecânico.</w:t>
      </w:r>
    </w:p>
    <w:p>
      <w:pPr>
        <w:pStyle w:val="Corpodetexto"/>
      </w:pPr>
      <w:r>
        <w:t xml:space="preserve">Essa eficácia surge do equilíbrio entre a remoção de lignina, que reduz os sítios potenciais de colonização microbiana, e a degradação parcial das cadeias de celulose, que pode comprometer a resistência mecânica global</w:t>
      </w:r>
      <w:r>
        <w:t xml:space="preserve"> </w:t>
      </w:r>
      <w:r>
        <w:t xml:space="preserve">(Bachtiar et al., 2025;</w:t>
      </w:r>
      <w:r>
        <w:t xml:space="preserve"> </w:t>
      </w:r>
      <w:r>
        <w:rPr>
          <w:b/>
          <w:bCs/>
        </w:rPr>
        <w:t xml:space="preserve">Xu2020_wood_alkali?</w:t>
      </w:r>
      <w:r>
        <w:t xml:space="preserve">)</w:t>
      </w:r>
      <w:r>
        <w:t xml:space="preserve">. Exposição em campo por 180 dias (precipitação total de 350 mm; irradiância UV-B = 6,5 kWh·m⁻²·dia⁻¹) revelou que fibras não tratadas mantiveram funcionalidade até 60 dias, enquanto o tratamento com NaOH 6 % prolongou a viabilidade para 142 dias (FSL: 95 dias no limiar P₁₀ de Weibull) e o NaOH 9 % manteve integridade estrutural durante todo o período de 180 dias. A análise GLM confirmou a robustez estatística do efeito do fator tratamento F(3, 71) = 35,564; p &lt; 0,001; η²ₚ = 0,835, indicando que 83,5 % da variância da resistência à tração (UTS) é atribuível à concentração de NaOH.</w:t>
      </w:r>
    </w:p>
    <w:p>
      <w:pPr>
        <w:pStyle w:val="Corpodetexto"/>
      </w:pPr>
      <w:r>
        <w:rPr>
          <w:b/>
          <w:bCs/>
        </w:rPr>
        <w:t xml:space="preserve">Tabela 2.</w:t>
      </w:r>
      <w:r>
        <w:t xml:space="preserve"> </w:t>
      </w:r>
      <w:r>
        <w:t xml:space="preserve">Efeitos comparativos da mercerização alcalina e tratamentos com resina sobre as características morfológicas e estruturais de fibras de</w:t>
      </w:r>
      <w:r>
        <w:t xml:space="preserve"> </w:t>
      </w:r>
      <w:r>
        <w:rPr>
          <w:i/>
          <w:iCs/>
        </w:rPr>
        <w:t xml:space="preserve">Typha domingensis</w:t>
      </w:r>
      <w:r>
        <w:t xml:space="preserve">.</w:t>
      </w:r>
    </w:p>
    <w:tbl>
      <w:tblPr>
        <w:tblStyle w:val="Table"/>
        <w:tblW w:type="pct" w:w="5000"/>
        <w:tblLayout w:type="fixed"/>
        <w:tblLook w:firstRow="1" w:lastRow="0" w:firstColumn="0" w:lastColumn="0" w:noHBand="0" w:noVBand="0" w:val="0020"/>
      </w:tblPr>
      <w:tblGrid>
        <w:gridCol w:w="2127"/>
        <w:gridCol w:w="1773"/>
        <w:gridCol w:w="1004"/>
        <w:gridCol w:w="1595"/>
        <w:gridCol w:w="1418"/>
      </w:tblGrid>
      <w:tr>
        <w:trPr>
          <w:tblHeader w:val="on"/>
        </w:trPr>
        <w:tc>
          <w:tcPr/>
          <w:p>
            <w:pPr>
              <w:pStyle w:val="Compact"/>
            </w:pPr>
            <w:r>
              <w:rPr>
                <w:b/>
                <w:bCs/>
              </w:rPr>
              <w:t xml:space="preserve">Parâmetro</w:t>
            </w:r>
          </w:p>
        </w:tc>
        <w:tc>
          <w:tcPr/>
          <w:p>
            <w:pPr>
              <w:pStyle w:val="Compact"/>
            </w:pPr>
            <w:r>
              <w:rPr>
                <w:b/>
                <w:bCs/>
              </w:rPr>
              <w:t xml:space="preserve">Fibras Não Tratadas</w:t>
            </w:r>
          </w:p>
        </w:tc>
        <w:tc>
          <w:tcPr/>
          <w:p>
            <w:pPr>
              <w:pStyle w:val="Compact"/>
            </w:pPr>
            <w:r>
              <w:rPr>
                <w:b/>
                <w:bCs/>
              </w:rPr>
              <w:t xml:space="preserve">NaOH 6%</w:t>
            </w:r>
          </w:p>
        </w:tc>
        <w:tc>
          <w:tcPr/>
          <w:p>
            <w:pPr>
              <w:pStyle w:val="Compact"/>
            </w:pPr>
            <w:r>
              <w:rPr>
                <w:b/>
                <w:bCs/>
              </w:rPr>
              <w:t xml:space="preserve">Resina Monocamada</w:t>
            </w:r>
          </w:p>
        </w:tc>
        <w:tc>
          <w:tcPr/>
          <w:p>
            <w:pPr>
              <w:pStyle w:val="Compact"/>
            </w:pPr>
            <w:r>
              <w:rPr>
                <w:b/>
                <w:bCs/>
              </w:rPr>
              <w:t xml:space="preserve">Variação (%)</w:t>
            </w:r>
          </w:p>
        </w:tc>
      </w:tr>
      <w:tr>
        <w:tc>
          <w:tcPr/>
          <w:p>
            <w:pPr>
              <w:pStyle w:val="Compact"/>
            </w:pPr>
            <w:r>
              <w:rPr>
                <w:b/>
                <w:bCs/>
              </w:rPr>
              <w:t xml:space="preserve">Morfologia Superficial</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Porosidade total (%)</w:t>
            </w:r>
          </w:p>
        </w:tc>
        <w:tc>
          <w:tcPr/>
          <w:p>
            <w:pPr>
              <w:pStyle w:val="Compact"/>
            </w:pPr>
            <w:r>
              <w:t xml:space="preserve">29,83</w:t>
            </w:r>
          </w:p>
        </w:tc>
        <w:tc>
          <w:tcPr/>
          <w:p>
            <w:pPr>
              <w:pStyle w:val="Compact"/>
            </w:pPr>
            <w:r>
              <w:t xml:space="preserve">32,10</w:t>
            </w:r>
          </w:p>
        </w:tc>
        <w:tc>
          <w:tcPr/>
          <w:p>
            <w:pPr>
              <w:pStyle w:val="Compact"/>
            </w:pPr>
            <w:r>
              <w:t xml:space="preserve">32,10</w:t>
            </w:r>
          </w:p>
        </w:tc>
        <w:tc>
          <w:tcPr/>
          <w:p>
            <w:pPr>
              <w:pStyle w:val="Compact"/>
            </w:pPr>
            <w:r>
              <w:t xml:space="preserve">+7,6</w:t>
            </w:r>
          </w:p>
        </w:tc>
      </w:tr>
      <w:tr>
        <w:tc>
          <w:tcPr/>
          <w:p>
            <w:pPr>
              <w:pStyle w:val="Compact"/>
            </w:pPr>
            <w:r>
              <w:t xml:space="preserve">Número de poros (poros·campo⁻¹)</w:t>
            </w:r>
          </w:p>
        </w:tc>
        <w:tc>
          <w:tcPr/>
          <w:p>
            <w:pPr>
              <w:pStyle w:val="Compact"/>
            </w:pPr>
            <w:r>
              <w:t xml:space="preserve">140</w:t>
            </w:r>
          </w:p>
        </w:tc>
        <w:tc>
          <w:tcPr/>
          <w:p>
            <w:pPr>
              <w:pStyle w:val="Compact"/>
            </w:pPr>
            <w:r>
              <w:t xml:space="preserve">81</w:t>
            </w:r>
          </w:p>
        </w:tc>
        <w:tc>
          <w:tcPr/>
          <w:p>
            <w:pPr>
              <w:pStyle w:val="Compact"/>
            </w:pPr>
            <w:r>
              <w:t xml:space="preserve">81</w:t>
            </w:r>
          </w:p>
        </w:tc>
        <w:tc>
          <w:tcPr/>
          <w:p>
            <w:pPr>
              <w:pStyle w:val="Compact"/>
            </w:pPr>
            <w:r>
              <w:t xml:space="preserve">-42,1</w:t>
            </w:r>
          </w:p>
        </w:tc>
      </w:tr>
      <w:tr>
        <w:tc>
          <w:tcPr/>
          <w:p>
            <w:pPr>
              <w:pStyle w:val="Compact"/>
            </w:pPr>
            <w:r>
              <w:t xml:space="preserve">Área média dos poros (pixels)</w:t>
            </w:r>
          </w:p>
        </w:tc>
        <w:tc>
          <w:tcPr/>
          <w:p>
            <w:pPr>
              <w:pStyle w:val="Compact"/>
            </w:pPr>
            <w:r>
              <w:t xml:space="preserve">1.935</w:t>
            </w:r>
          </w:p>
        </w:tc>
        <w:tc>
          <w:tcPr/>
          <w:p>
            <w:pPr>
              <w:pStyle w:val="Compact"/>
            </w:pPr>
            <w:r>
              <w:t xml:space="preserve">3.360</w:t>
            </w:r>
          </w:p>
        </w:tc>
        <w:tc>
          <w:tcPr/>
          <w:p>
            <w:pPr>
              <w:pStyle w:val="Compact"/>
            </w:pPr>
            <w:r>
              <w:t xml:space="preserve">3.360</w:t>
            </w:r>
          </w:p>
        </w:tc>
        <w:tc>
          <w:tcPr/>
          <w:p>
            <w:pPr>
              <w:pStyle w:val="Compact"/>
            </w:pPr>
            <w:r>
              <w:t xml:space="preserve">+73,6</w:t>
            </w:r>
          </w:p>
        </w:tc>
      </w:tr>
      <w:tr>
        <w:tc>
          <w:tcPr/>
          <w:p>
            <w:pPr>
              <w:pStyle w:val="Compact"/>
            </w:pPr>
            <w:r>
              <w:t xml:space="preserve">Circularidade dos poros</w:t>
            </w:r>
          </w:p>
        </w:tc>
        <w:tc>
          <w:tcPr/>
          <w:p>
            <w:pPr>
              <w:pStyle w:val="Compact"/>
            </w:pPr>
            <w:r>
              <w:t xml:space="preserve">0,581</w:t>
            </w:r>
          </w:p>
        </w:tc>
        <w:tc>
          <w:tcPr/>
          <w:p>
            <w:pPr>
              <w:pStyle w:val="Compact"/>
            </w:pPr>
            <w:r>
              <w:t xml:space="preserve">0,615</w:t>
            </w:r>
          </w:p>
        </w:tc>
        <w:tc>
          <w:tcPr/>
          <w:p>
            <w:pPr>
              <w:pStyle w:val="Compact"/>
            </w:pPr>
            <w:r>
              <w:t xml:space="preserve">0,615</w:t>
            </w:r>
          </w:p>
        </w:tc>
        <w:tc>
          <w:tcPr/>
          <w:p>
            <w:pPr>
              <w:pStyle w:val="Compact"/>
            </w:pPr>
            <w:r>
              <w:t xml:space="preserve">+5,9</w:t>
            </w:r>
          </w:p>
        </w:tc>
      </w:tr>
      <w:tr>
        <w:tc>
          <w:tcPr/>
          <w:p>
            <w:pPr>
              <w:pStyle w:val="Compact"/>
            </w:pPr>
            <w:r>
              <w:t xml:space="preserve">Rugosidade superficial</w:t>
            </w:r>
          </w:p>
        </w:tc>
        <w:tc>
          <w:tcPr/>
          <w:p>
            <w:pPr>
              <w:pStyle w:val="Compact"/>
            </w:pPr>
            <w:r>
              <w:t xml:space="preserve">0,0353</w:t>
            </w:r>
          </w:p>
        </w:tc>
        <w:tc>
          <w:tcPr/>
          <w:p>
            <w:pPr>
              <w:pStyle w:val="Compact"/>
            </w:pPr>
            <w:r>
              <w:t xml:space="preserve">0,0523</w:t>
            </w:r>
          </w:p>
        </w:tc>
        <w:tc>
          <w:tcPr/>
          <w:p>
            <w:pPr>
              <w:pStyle w:val="Compact"/>
            </w:pPr>
            <w:r>
              <w:t xml:space="preserve">0,0523</w:t>
            </w:r>
          </w:p>
        </w:tc>
        <w:tc>
          <w:tcPr/>
          <w:p>
            <w:pPr>
              <w:pStyle w:val="Compact"/>
            </w:pPr>
            <w:r>
              <w:t xml:space="preserve">+48,2</w:t>
            </w:r>
          </w:p>
        </w:tc>
      </w:tr>
      <w:tr>
        <w:tc>
          <w:tcPr/>
          <w:p>
            <w:pPr>
              <w:pStyle w:val="Compact"/>
            </w:pPr>
            <w:r>
              <w:rPr>
                <w:b/>
                <w:bCs/>
              </w:rPr>
              <w:t xml:space="preserve">Organização Fibrilar</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Índice de orientação</w:t>
            </w:r>
          </w:p>
        </w:tc>
        <w:tc>
          <w:tcPr/>
          <w:p>
            <w:pPr>
              <w:pStyle w:val="Compact"/>
            </w:pPr>
            <w:r>
              <w:t xml:space="preserve">0,290</w:t>
            </w:r>
          </w:p>
        </w:tc>
        <w:tc>
          <w:tcPr/>
          <w:p>
            <w:pPr>
              <w:pStyle w:val="Compact"/>
            </w:pPr>
            <w:r>
              <w:t xml:space="preserve">0,463</w:t>
            </w:r>
          </w:p>
        </w:tc>
        <w:tc>
          <w:tcPr/>
          <w:p>
            <w:pPr>
              <w:pStyle w:val="Compact"/>
            </w:pPr>
            <w:r>
              <w:t xml:space="preserve">0,463</w:t>
            </w:r>
          </w:p>
        </w:tc>
        <w:tc>
          <w:tcPr/>
          <w:p>
            <w:pPr>
              <w:pStyle w:val="Compact"/>
            </w:pPr>
            <w:r>
              <w:t xml:space="preserve">+59,7</w:t>
            </w:r>
          </w:p>
        </w:tc>
      </w:tr>
      <w:tr>
        <w:tc>
          <w:tcPr/>
          <w:p>
            <w:pPr>
              <w:pStyle w:val="Compact"/>
            </w:pPr>
            <w:r>
              <w:t xml:space="preserve">Desvio padrão angular (°)</w:t>
            </w:r>
          </w:p>
        </w:tc>
        <w:tc>
          <w:tcPr/>
          <w:p>
            <w:pPr>
              <w:pStyle w:val="Compact"/>
            </w:pPr>
            <w:r>
              <w:t xml:space="preserve">63,9</w:t>
            </w:r>
          </w:p>
        </w:tc>
        <w:tc>
          <w:tcPr/>
          <w:p>
            <w:pPr>
              <w:pStyle w:val="Compact"/>
            </w:pPr>
            <w:r>
              <w:t xml:space="preserve">48,3</w:t>
            </w:r>
          </w:p>
        </w:tc>
        <w:tc>
          <w:tcPr/>
          <w:p>
            <w:pPr>
              <w:pStyle w:val="Compact"/>
            </w:pPr>
            <w:r>
              <w:t xml:space="preserve">48,3</w:t>
            </w:r>
          </w:p>
        </w:tc>
        <w:tc>
          <w:tcPr/>
          <w:p>
            <w:pPr>
              <w:pStyle w:val="Compact"/>
            </w:pPr>
            <w:r>
              <w:t xml:space="preserve">-24,4</w:t>
            </w:r>
          </w:p>
        </w:tc>
      </w:tr>
      <w:tr>
        <w:tc>
          <w:tcPr/>
          <w:p>
            <w:pPr>
              <w:pStyle w:val="Compact"/>
            </w:pPr>
            <w:r>
              <w:t xml:space="preserve">Densidade fibrilar</w:t>
            </w:r>
          </w:p>
        </w:tc>
        <w:tc>
          <w:tcPr/>
          <w:p>
            <w:pPr>
              <w:pStyle w:val="Compact"/>
            </w:pPr>
            <w:r>
              <w:t xml:space="preserve">0,0292</w:t>
            </w:r>
          </w:p>
        </w:tc>
        <w:tc>
          <w:tcPr/>
          <w:p>
            <w:pPr>
              <w:pStyle w:val="Compact"/>
            </w:pPr>
            <w:r>
              <w:t xml:space="preserve">0,0383</w:t>
            </w:r>
          </w:p>
        </w:tc>
        <w:tc>
          <w:tcPr/>
          <w:p>
            <w:pPr>
              <w:pStyle w:val="Compact"/>
            </w:pPr>
            <w:r>
              <w:t xml:space="preserve">0,0383</w:t>
            </w:r>
          </w:p>
        </w:tc>
        <w:tc>
          <w:tcPr/>
          <w:p>
            <w:pPr>
              <w:pStyle w:val="Compact"/>
            </w:pPr>
            <w:r>
              <w:t xml:space="preserve">+31,1</w:t>
            </w:r>
          </w:p>
        </w:tc>
      </w:tr>
      <w:tr>
        <w:tc>
          <w:tcPr/>
          <w:p>
            <w:pPr>
              <w:pStyle w:val="Compact"/>
            </w:pPr>
            <w:r>
              <w:t xml:space="preserve">Comprimento esqueletal (pixels)</w:t>
            </w:r>
          </w:p>
        </w:tc>
        <w:tc>
          <w:tcPr/>
          <w:p>
            <w:pPr>
              <w:pStyle w:val="Compact"/>
            </w:pPr>
            <w:r>
              <w:t xml:space="preserve">26.534</w:t>
            </w:r>
          </w:p>
        </w:tc>
        <w:tc>
          <w:tcPr/>
          <w:p>
            <w:pPr>
              <w:pStyle w:val="Compact"/>
            </w:pPr>
            <w:r>
              <w:t xml:space="preserve">32.458</w:t>
            </w:r>
          </w:p>
        </w:tc>
        <w:tc>
          <w:tcPr/>
          <w:p>
            <w:pPr>
              <w:pStyle w:val="Compact"/>
            </w:pPr>
            <w:r>
              <w:t xml:space="preserve">32.458</w:t>
            </w:r>
          </w:p>
        </w:tc>
        <w:tc>
          <w:tcPr/>
          <w:p>
            <w:pPr>
              <w:pStyle w:val="Compact"/>
            </w:pPr>
            <w:r>
              <w:t xml:space="preserve">+22,3</w:t>
            </w:r>
          </w:p>
        </w:tc>
      </w:tr>
      <w:tr>
        <w:tc>
          <w:tcPr/>
          <w:p>
            <w:pPr>
              <w:pStyle w:val="Compact"/>
            </w:pPr>
            <w:r>
              <w:rPr>
                <w:b/>
                <w:bCs/>
              </w:rPr>
              <w:t xml:space="preserve">Conectividade Estrutural</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Junções (junções·campo⁻¹)</w:t>
            </w:r>
          </w:p>
        </w:tc>
        <w:tc>
          <w:tcPr/>
          <w:p>
            <w:pPr>
              <w:pStyle w:val="Compact"/>
            </w:pPr>
            <w:r>
              <w:t xml:space="preserve">666</w:t>
            </w:r>
          </w:p>
        </w:tc>
        <w:tc>
          <w:tcPr/>
          <w:p>
            <w:pPr>
              <w:pStyle w:val="Compact"/>
            </w:pPr>
            <w:r>
              <w:t xml:space="preserve">831</w:t>
            </w:r>
          </w:p>
        </w:tc>
        <w:tc>
          <w:tcPr/>
          <w:p>
            <w:pPr>
              <w:pStyle w:val="Compact"/>
            </w:pPr>
            <w:r>
              <w:t xml:space="preserve">831</w:t>
            </w:r>
          </w:p>
        </w:tc>
        <w:tc>
          <w:tcPr/>
          <w:p>
            <w:pPr>
              <w:pStyle w:val="Compact"/>
            </w:pPr>
            <w:r>
              <w:t xml:space="preserve">+24,8</w:t>
            </w:r>
          </w:p>
        </w:tc>
      </w:tr>
      <w:tr>
        <w:tc>
          <w:tcPr/>
          <w:p>
            <w:pPr>
              <w:pStyle w:val="Compact"/>
            </w:pPr>
            <w:r>
              <w:rPr>
                <w:b/>
                <w:bCs/>
              </w:rPr>
              <w:t xml:space="preserve">Propriedades Mecânicas</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Resistência à tração (N·mm⁻²)</w:t>
            </w:r>
          </w:p>
        </w:tc>
        <w:tc>
          <w:tcPr/>
          <w:p>
            <w:pPr>
              <w:pStyle w:val="Compact"/>
            </w:pPr>
            <w:r>
              <w:t xml:space="preserve">18,88</w:t>
            </w:r>
          </w:p>
        </w:tc>
        <w:tc>
          <w:tcPr/>
          <w:p>
            <w:pPr>
              <w:pStyle w:val="Compact"/>
            </w:pPr>
            <w:r>
              <w:t xml:space="preserve">21,39</w:t>
            </w:r>
          </w:p>
        </w:tc>
        <w:tc>
          <w:tcPr/>
          <w:p>
            <w:pPr>
              <w:pStyle w:val="Compact"/>
            </w:pPr>
            <w:r>
              <w:t xml:space="preserve">5,24</w:t>
            </w:r>
          </w:p>
        </w:tc>
        <w:tc>
          <w:tcPr/>
          <w:p>
            <w:pPr>
              <w:pStyle w:val="Compact"/>
            </w:pPr>
            <w:r>
              <w:t xml:space="preserve">+13,3 / +177,8†</w:t>
            </w:r>
          </w:p>
        </w:tc>
      </w:tr>
      <w:tr>
        <w:tc>
          <w:tcPr/>
          <w:p>
            <w:pPr>
              <w:pStyle w:val="Compact"/>
            </w:pPr>
            <w:r>
              <w:t xml:space="preserve">Estabilidade térmica (°C, TGA)</w:t>
            </w:r>
          </w:p>
        </w:tc>
        <w:tc>
          <w:tcPr/>
          <w:p>
            <w:pPr>
              <w:pStyle w:val="Compact"/>
            </w:pPr>
            <w:r>
              <w:t xml:space="preserve">245</w:t>
            </w:r>
          </w:p>
        </w:tc>
        <w:tc>
          <w:tcPr/>
          <w:p>
            <w:pPr>
              <w:pStyle w:val="Compact"/>
            </w:pPr>
            <w:r>
              <w:t xml:space="preserve">265</w:t>
            </w:r>
          </w:p>
        </w:tc>
        <w:tc>
          <w:tcPr/>
          <w:p>
            <w:pPr>
              <w:pStyle w:val="Compact"/>
            </w:pPr>
            <w:r>
              <w:t xml:space="preserve">285</w:t>
            </w:r>
          </w:p>
        </w:tc>
        <w:tc>
          <w:tcPr/>
          <w:p>
            <w:pPr>
              <w:pStyle w:val="Compact"/>
            </w:pPr>
            <w:r>
              <w:t xml:space="preserve">+16,3</w:t>
            </w:r>
          </w:p>
        </w:tc>
      </w:tr>
    </w:tbl>
    <w:p>
      <w:pPr>
        <w:pStyle w:val="Corpodetexto"/>
      </w:pPr>
      <w:r>
        <w:t xml:space="preserve">†Aumento atribuível à contribuição estrutural da matriz polimérica.</w:t>
      </w:r>
    </w:p>
    <w:p>
      <w:pPr>
        <w:pStyle w:val="Corpodetexto"/>
      </w:pPr>
      <w:r>
        <w:t xml:space="preserve">Quanto a Deformação por ruptura (ε), os dados observados apresentaram comportamento inverso, tratamento com 3% NaOH preservou alongamento em 2,86% (similar ao não tratado: 2,95%), enquanto 6% e 9% NaOH reduziram ε para 2,31% e 2,18%, indicando perda de ductilidade. Concentração de 6% NaOH representa ponto Pareto-ótimo para geotêxteis com VUF de 120–150 dias, equilibrando resistência à tração (+13,3%), punção (+25,0%) e flexibilidade (ε &gt; 2,3%). Essas propriedades resultam de transformações estruturais nanométricas reveladas por morfometria quantitativa (Tabela 2), transição de Cellulose I para Cellulose II, aumento de rugosidade superficial (+48,2%) e acessibilidade de grupos hidroxila</w:t>
      </w:r>
      <w:r>
        <w:t xml:space="preserve"> </w:t>
      </w:r>
      <w:r>
        <w:t xml:space="preserve">(Mansikkamaki et al., 2007)</w:t>
      </w:r>
      <w:r>
        <w:t xml:space="preserve">. A mercerização reorganiza a rede porosa, consolidando poros pequenos em cavidades maiores (</w:t>
      </w:r>
      <w:r>
        <w:t xml:space="preserve">0e1rea média +73,6%), melhorando circularidade (+5,9%) e reduzindo heterogeneidade dimensional</w:t>
      </w:r>
      <w:r>
        <w:t xml:space="preserve"> </w:t>
      </w:r>
      <w:r>
        <w:t xml:space="preserve">(Jiao &amp; Xiong, 2014)</w:t>
      </w:r>
      <w:r>
        <w:t xml:space="preserve">. Porosidade total aumenta ligeiramente (+7,6%) apesar da redução no número de poros (−42,1%), melhorando a eficiência do transporte capilar em vez de simplesmente vedar poros</w:t>
      </w:r>
      <w:r>
        <w:t xml:space="preserve"> </w:t>
      </w:r>
      <w:r>
        <w:t xml:space="preserve">(Koistinen et al., 2024)</w:t>
      </w:r>
      <w:r>
        <w:t xml:space="preserve">.</w:t>
      </w:r>
    </w:p>
    <w:p>
      <w:pPr>
        <w:pStyle w:val="Corpodetexto"/>
      </w:pPr>
      <w:r>
        <w:t xml:space="preserve">Reestruturação porosa reflete reorganização fibrilar subjacente: índice de orientação melhorou +59,7% (0,290 → 0,463), densidade fibrilar +31,1% e comprimento esqueletal +22,3%, explicando ganho de UTS (+13,3%) sem perda substancial de flexibilidade. Mercerização atua por realinhamento direcional de microfibrilas</w:t>
      </w:r>
      <w:r>
        <w:t xml:space="preserve"> </w:t>
      </w:r>
      <w:r>
        <w:t xml:space="preserve">(Ray et al., 2002)</w:t>
      </w:r>
      <w:r>
        <w:t xml:space="preserve">, com aumento de 24,8% em junções (666 → 831 junções·campo⁻¹) gerando redundância estrutural contra falhas progressivas</w:t>
      </w:r>
      <w:r>
        <w:t xml:space="preserve"> </w:t>
      </w:r>
      <w:r>
        <w:t xml:space="preserve">(Thakur et al., 2019)</w:t>
      </w:r>
      <w:r>
        <w:t xml:space="preserve">. Rugosidade elevada (+48,2%) cria microirregularidades de 1–2 μm que funcionam como zonas de ancoragem e microrreservatórios hídricos. Estabilidade térmica melhora (+16,3%, TGA 245 → 265°C) pela remoção de hemicelulose (Td ≈ 220–315°C) e exposição de celulose cristalina (Td ≈ 315–400°C), estendendo VUF em campo de 60 para 142 dias.</w:t>
      </w:r>
    </w:p>
    <w:p>
      <w:pPr>
        <w:pStyle w:val="Corpodetexto"/>
      </w:pPr>
      <w:r>
        <w:t xml:space="preserve">Enquanto mercerização otimiza estrutura interna, proteção externa requer estratégias de barreira. Revestimentos com resina acrílica (Hydronorth®) em camada única (0,0932 ml·m⁻²) prolongam VUF de 60 para 120 dias</w:t>
      </w:r>
      <w:r>
        <w:t xml:space="preserve"> </w:t>
      </w:r>
      <w:r>
        <w:t xml:space="preserve">(Akter et al., 2020)</w:t>
      </w:r>
      <w:r>
        <w:t xml:space="preserve">. Ensaios em</w:t>
      </w:r>
      <w:r>
        <w:t xml:space="preserve"> </w:t>
      </w:r>
      <w:r>
        <w:rPr>
          <w:i/>
          <w:iCs/>
        </w:rPr>
        <w:t xml:space="preserve">Syagrus coronata</w:t>
      </w:r>
      <w:r>
        <w:t xml:space="preserve"> </w:t>
      </w:r>
      <w:r>
        <w:t xml:space="preserve">(diâmetro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 xml:space="preserve">Aspergillus</w:t>
      </w:r>
      <w:r>
        <w:t xml:space="preserve">,</w:t>
      </w:r>
      <w:r>
        <w:t xml:space="preserve"> </w:t>
      </w:r>
      <w:r>
        <w:rPr>
          <w:i/>
          <w:iCs/>
        </w:rPr>
        <w:t xml:space="preserve">Trichoderma</w:t>
      </w:r>
      <w:r>
        <w:t xml:space="preserve">) via celulases</w:t>
      </w:r>
      <w:r>
        <w:t xml:space="preserve"> </w:t>
      </w:r>
      <w:r>
        <w:t xml:space="preserve">(Dashtban et al., 2010; Ghose, 1987; Vries et al., 2010)</w:t>
      </w:r>
      <w:r>
        <w:t xml:space="preserve">.</w:t>
      </w:r>
    </w:p>
    <w:p>
      <w:pPr>
        <w:pStyle w:val="Corpodetexto"/>
      </w:pPr>
      <w:r>
        <w:t xml:space="preserve">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pPr>
        <w:pStyle w:val="Corpodetexto"/>
      </w:pPr>
      <w:r>
        <w:rPr>
          <w:b/>
          <w:bCs/>
        </w:rPr>
        <w:t xml:space="preserve">Figura 5.</w:t>
      </w:r>
      <w:r>
        <w:t xml:space="preserve"> </w:t>
      </w:r>
      <w:r>
        <w:t xml:space="preserve">Resistência à tração (UTS, N/mm) sob diferentes condições de tratamento e espécie,</w:t>
      </w:r>
      <w:r>
        <w:t xml:space="preserve"> </w:t>
      </w:r>
      <w:r>
        <w:rPr>
          <w:b/>
          <w:bCs/>
        </w:rPr>
        <w:t xml:space="preserve">(a)</w:t>
      </w:r>
      <w:r>
        <w:t xml:space="preserve"> </w:t>
      </w:r>
      <w:r>
        <w:t xml:space="preserve">Fibra não tratada (Taboa e Ouricuri),</w:t>
      </w:r>
      <w:r>
        <w:t xml:space="preserve"> </w:t>
      </w:r>
      <w:r>
        <w:rPr>
          <w:b/>
          <w:bCs/>
        </w:rPr>
        <w:t xml:space="preserve">(b)</w:t>
      </w:r>
      <w:r>
        <w:t xml:space="preserve"> </w:t>
      </w:r>
      <w:r>
        <w:t xml:space="preserve">Fibra com resina monocamada e</w:t>
      </w:r>
      <w:r>
        <w:t xml:space="preserve"> </w:t>
      </w:r>
      <w:r>
        <w:rPr>
          <w:b/>
          <w:bCs/>
        </w:rPr>
        <w:t xml:space="preserve">(c)</w:t>
      </w:r>
      <w:r>
        <w:t xml:space="preserve"> </w:t>
      </w:r>
      <w:r>
        <w:t xml:space="preserve">Fibra com resina bicamada, ilustrando delaminação e queda abrupta de UTS.</w:t>
      </w:r>
    </w:p>
    <w:p>
      <w:pPr>
        <w:pStyle w:val="CaptionedFigure"/>
      </w:pPr>
      <w:r>
        <w:drawing>
          <wp:inline>
            <wp:extent cx="4480560" cy="2639498"/>
            <wp:effectExtent b="0" l="0" r="0" t="0"/>
            <wp:docPr descr="Figura 5: resistência última à tração por tratamento" title="" id="36" name="Picture"/>
            <a:graphic>
              <a:graphicData uri="http://schemas.openxmlformats.org/drawingml/2006/picture">
                <pic:pic>
                  <pic:nvPicPr>
                    <pic:cNvPr descr="../3-IMAGENS/fig_tensile.png" id="37" name="Picture"/>
                    <pic:cNvPicPr>
                      <a:picLocks noChangeArrowheads="1" noChangeAspect="1"/>
                    </pic:cNvPicPr>
                  </pic:nvPicPr>
                  <pic:blipFill>
                    <a:blip r:embed="rId35"/>
                    <a:stretch>
                      <a:fillRect/>
                    </a:stretch>
                  </pic:blipFill>
                  <pic:spPr bwMode="auto">
                    <a:xfrm>
                      <a:off x="0" y="0"/>
                      <a:ext cx="4480560" cy="2639498"/>
                    </a:xfrm>
                    <a:prstGeom prst="rect">
                      <a:avLst/>
                    </a:prstGeom>
                    <a:noFill/>
                    <a:ln w="9525">
                      <a:noFill/>
                      <a:headEnd/>
                      <a:tailEnd/>
                    </a:ln>
                  </pic:spPr>
                </pic:pic>
              </a:graphicData>
            </a:graphic>
          </wp:inline>
        </w:drawing>
      </w:r>
    </w:p>
    <w:p>
      <w:pPr>
        <w:pStyle w:val="ImageCaption"/>
      </w:pPr>
      <w:r>
        <w:t xml:space="preserve">Figura 5: resistência última à tração por tratamento</w:t>
      </w:r>
    </w:p>
    <w:p>
      <w:pPr>
        <w:pStyle w:val="Corpodetexto"/>
      </w:pPr>
      <w:r>
        <w:t xml:space="preserve">Esse comportaento pode ser atribuido a danos interfaciais microscópicos. Microscopia eletrônica (15 keV) demostrou haver delaminação interfacial entre resina e matriz lignocelulósica</w:t>
      </w:r>
      <w:r>
        <w:t xml:space="preserve"> </w:t>
      </w:r>
      <w:r>
        <w:t xml:space="preserve">(Lerpiniere et al., 2014)</w:t>
      </w:r>
      <w:r>
        <w:t xml:space="preserve">, ciclos higrotérmicos (18–35°C, 45–85% UR) induzem</w:t>
      </w:r>
      <w:r>
        <w:t xml:space="preserve"> </w:t>
      </w:r>
      <w:r>
        <w:rPr>
          <w:i/>
          <w:iCs/>
        </w:rPr>
        <w:t xml:space="preserve">swelling-shrinkage</w:t>
      </w:r>
      <w:r>
        <w:t xml:space="preserve"> </w:t>
      </w:r>
      <w:r>
        <w:t xml:space="preserve">repetitivo, descolando a resina e criando microambientes hidrofílicos propensos à colonização fúngica. Resina dupla cria barreira excessiva (permeabilidade &lt; 10⁻¹² m²·s⁻¹) que aprisiona água metabólica microbiana, catalisando hidrólise enzimática (umidade &gt; 30%)</w:t>
      </w:r>
      <w:r>
        <w:t xml:space="preserve"> </w:t>
      </w:r>
      <w:r>
        <w:t xml:space="preserve">(Gottenbos et al., 2003; Lerpiniere et al., 2014)</w:t>
      </w:r>
      <w:r>
        <w:t xml:space="preserve">, enquanto camada única mantém permeabilidade adequada (~10⁻¹⁰ m²·s⁻¹) para saída de umidade.</w:t>
      </w:r>
    </w:p>
    <w:p>
      <w:pPr>
        <w:pStyle w:val="Corpodetexto"/>
      </w:pPr>
      <w:r>
        <w:t xml:space="preserve">Permeabilidade seletiva valida-se em</w:t>
      </w:r>
      <w:r>
        <w:t xml:space="preserve"> </w:t>
      </w:r>
      <w:r>
        <w:rPr>
          <w:i/>
          <w:iCs/>
        </w:rPr>
        <w:t xml:space="preserve">Typha</w:t>
      </w:r>
      <w:r>
        <w:t xml:space="preserve"> </w:t>
      </w:r>
      <w:r>
        <w:t xml:space="preserve">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 xml:space="preserve">k</w:t>
      </w:r>
      <w:r>
        <w:t xml:space="preserve"> </w:t>
      </w:r>
      <w:r>
        <w:t xml:space="preserve">de 0,0118 para 0,0062 dia⁻¹) compensa perda inicial. ANOVA-RM confirma interação tempo × tratamento: F(2,139; 21,561) = 9,764; p &lt; 0,001; η² = 0,550. Otimização de durabilidade reside no equilíbrio entre proteção de barreira e permeabilidade ao vapor, não na maximização de espessura.</w:t>
      </w:r>
    </w:p>
    <w:p>
      <w:pPr>
        <w:pStyle w:val="Corpodetexto"/>
      </w:pPr>
      <w:r>
        <w:t xml:space="preserve">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dias com 6% NaOH (FSL: P₁₀ = 95 dias), com integridade censurada até 180 dias em 9% NaOH.</w:t>
      </w:r>
    </w:p>
    <w:p>
      <w:pPr>
        <w:pStyle w:val="Corpodetexto"/>
      </w:pPr>
      <w:r>
        <w:t xml:space="preserve">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 (+7,6%) e redução do número de poros (−42,1%), acompanhados por elevação da rugosidade (+48,2%), orientação fibrilar (+59,7%) e número de junções (+24,8%).</w:t>
      </w:r>
    </w:p>
    <w:bookmarkEnd w:id="38"/>
    <w:bookmarkStart w:id="39" w:name="Xf1d391ed1f139d4a491ea5cba46c1772f58729d"/>
    <w:p>
      <w:pPr>
        <w:pStyle w:val="Ttulo3"/>
      </w:pPr>
      <w:r>
        <w:t xml:space="preserve">3.2. Implicações para Especificação de Geotêxteis Tropicais</w:t>
      </w:r>
    </w:p>
    <w:p>
      <w:pPr>
        <w:pStyle w:val="FirstParagraph"/>
      </w:pPr>
      <w:r>
        <w:t xml:space="preserve">A integração sistemática dos dados de mercerização com NaOH e revestimento com resina estabelece uma matriz de decisão para especificação de geotêxteis tropicais. A linha de base não tratada apresenta FSL de 42 dias sob distribuição de Weibull com percentil P10, exibindo taxa de degradação UTS k de 0,0118 dia⁻¹. O tratamento com NaOH a 6% estende o FSL para 95 dias com k reduzida a 0,0073 dia⁻¹, representando redução de taxa de degradação de 38%. Aplicando resina de camada única em</w:t>
      </w:r>
      <w:r>
        <w:t xml:space="preserve"> </w:t>
      </w:r>
      <w:r>
        <w:rPr>
          <w:i/>
          <w:iCs/>
        </w:rPr>
        <w:t xml:space="preserve">Syagrus</w:t>
      </w:r>
      <w:r>
        <w:t xml:space="preserve">, o FSL alcança 128 dias com k de 0,0061 dia⁻¹, correspondendo a redução de 48% na taxa de degradação. Tratamentos com NaOH a 9% apresentam FSL superior a 180 dias com dados censurados, exibindo k de 0,0041 dia⁻¹, equivalente a redução de 65% na taxa de degradação.</w:t>
      </w:r>
    </w:p>
    <w:p>
      <w:pPr>
        <w:pStyle w:val="Corpodetexto"/>
      </w:pPr>
      <w:r>
        <w:t xml:space="preserve">Essas diferenças cinéticas traduzem-se em otimização econômica específica por aplicação. O cálculo favorece NaOH a 6% para janelas de serviço de 90 a 150 dias (estabelecimento de culturas anuais, controle de erosão na estação chuvosa), visto que os custos de tratamento permanecem abaixo de US$ 0,80·m⁻² sem externalidades de descarte. A resina de camada única atinge paridade de custos (US$ 1,20 · m⁻²) para instalações perenes (por exemplo, restauração de áreas ribeirinhas, taludes de rodovias), onde o período de serviço prolongado justifica o custo adicional do material. Tratamentos de camada dupla são contraindicados em todos os casos de uso, representando um exemplo de advertência sobre como o sobredimensionamento pode levar a falhas sistêmicas.</w:t>
      </w:r>
    </w:p>
    <w:p>
      <w:pPr>
        <w:pStyle w:val="Corpodetexto"/>
      </w:pPr>
      <w:r>
        <w:t xml:space="preserve">Embora a resistência à tração domine a literatura acadêmica, a resistência à perfuração (ISO 12236/NBR 13359) determina a sobrevivência em campo durante a instalação sobre substratos rochosos e o tráfego de animais</w:t>
      </w:r>
      <w:r>
        <w:t xml:space="preserve"> </w:t>
      </w:r>
      <w:r>
        <w:t xml:space="preserve">(Cholewa &amp; Kutia, 2019)</w:t>
      </w:r>
      <w:r>
        <w:t xml:space="preserve">. A</w:t>
      </w:r>
      <w:r>
        <w:t xml:space="preserve"> </w:t>
      </w:r>
      <w:r>
        <w:rPr>
          <w:i/>
          <w:iCs/>
        </w:rPr>
        <w:t xml:space="preserve">Typha</w:t>
      </w:r>
      <w:r>
        <w:t xml:space="preserve"> </w:t>
      </w:r>
      <w:r>
        <w:t xml:space="preserve">tratada com NaOH apresentou cargas de perfuração superiores a 25 N·mm⁻² durante 120 dias (em comparação com 18 N · mm⁻² para sintéticos de massa equivalente), atribuídas à morfologia fibrosa que redistribui a tensão localizada por meio do atrito interfibras, em vez de deformação elástica.</w:t>
      </w:r>
    </w:p>
    <w:p>
      <w:pPr>
        <w:pStyle w:val="Corpodetexto"/>
      </w:pPr>
      <w:r>
        <w:t xml:space="preserve">Os dados de degradação demonstra que, a redução da resistência à perfuração ao longo do tempo obedece a uma cinética de lei de potência, descrita pela função</w:t>
      </w:r>
      <w:r>
        <w:t xml:space="preserve"> </w:t>
      </w:r>
      <m:oMath>
        <m:sSub>
          <m:e>
            <m:r>
              <m:t>R</m:t>
            </m:r>
          </m:e>
          <m:sub>
            <m:r>
              <m:t>p</m:t>
            </m:r>
          </m:sub>
        </m:sSub>
        <m:r>
          <m:rPr>
            <m:sty m:val="p"/>
          </m:rPr>
          <m:t>(</m:t>
        </m:r>
        <m:r>
          <m:t>t</m:t>
        </m:r>
        <m:r>
          <m:rPr>
            <m:sty m:val="p"/>
          </m:rPr>
          <m:t>)</m:t>
        </m:r>
        <m:r>
          <m:rPr>
            <m:sty m:val="p"/>
          </m:rPr>
          <m:t>=</m:t>
        </m:r>
        <m:sSub>
          <m:e>
            <m:r>
              <m:t>R</m:t>
            </m:r>
          </m:e>
          <m:sub>
            <m:r>
              <m:t>p</m:t>
            </m:r>
            <m:r>
              <m:t>0</m:t>
            </m:r>
          </m:sub>
        </m:sSub>
        <m:r>
          <m:rPr>
            <m:sty m:val="p"/>
          </m:rPr>
          <m:t>⋅</m:t>
        </m:r>
        <m:sSup>
          <m:e>
            <m:r>
              <m:t>t</m:t>
            </m:r>
          </m:e>
          <m:sup>
            <m:r>
              <m:rPr>
                <m:sty m:val="p"/>
              </m:rPr>
              <m:t>−</m:t>
            </m:r>
            <m:r>
              <m:t>α</m:t>
            </m:r>
          </m:sup>
        </m:sSup>
      </m:oMath>
      <w:r>
        <w:t xml:space="preserve">. Para o tratamento com NaOH a 6%, estimou-se α = 0,16 (R² = 0,82), indicando uma trajetória de degradação previsível em horizontes de até 6 meses. Além disso, análise via modelo linear generalizado (GLM) identificou uma interação significativa entre tratamento e tempo (p = 0,015; η² parcial = 0,137), confirmando que a eficácia protetora do NaOH não é constante, mas varia em função do tempo de exposição. A proteção máxima concentra-se durante o período de 30 a 90 dias, justamente quando as redes radiculares da vegetação permanecem imaturas e a contribuição mecânica do geotêxtil é crítica para a estabilidade inicial do talude.</w:t>
      </w:r>
    </w:p>
    <w:p>
      <w:pPr>
        <w:pStyle w:val="Corpodetexto"/>
      </w:pPr>
      <w:r>
        <w:t xml:space="preserve">Ensaios de extensão sob carga máxima nas fibras de</w:t>
      </w:r>
      <w:r>
        <w:t xml:space="preserve"> </w:t>
      </w:r>
      <w:r>
        <w:rPr>
          <w:i/>
          <w:iCs/>
        </w:rPr>
        <w:t xml:space="preserve">Typha</w:t>
      </w:r>
      <w:r>
        <w:t xml:space="preserve"> </w:t>
      </w:r>
      <w:r>
        <w:t xml:space="preserve">e</w:t>
      </w:r>
      <w:r>
        <w:t xml:space="preserve"> </w:t>
      </w:r>
      <w:r>
        <w:rPr>
          <w:i/>
          <w:iCs/>
        </w:rPr>
        <w:t xml:space="preserve">Syagrus</w:t>
      </w:r>
      <w:r>
        <w:t xml:space="preserve"> </w:t>
      </w:r>
      <w:r>
        <w:t xml:space="preserve">revelaram comportamentos diferenciados em função da concentração de NaOH, sendo esse parâmetro crítico para aplicações onde absorção de energia é requerida. Tratamentos moderados (3–6% de NaOH) preservaram a ductilidade das fibras, com deformação na ruptura (ε) entre 2,3 e 2,9%, enquanto concentrações elevadas (9% de NaOH) induziram fragilidade, reduzindo ε para 1,8%. Para taludes íngremes (&gt;30°), onde predominam carregamentos dinâmicos originários do escoamento superficial e impactos de fragmentos rochosos, essa retenção de flexibilidade torna-se determinante. O tratamento com 6% NaOH justifica-se como escolha ótima nesse cenário, oferecendo equilíbrio entre ganho de resistência à tração (+13,3%) e manutenção de ductilidade operacional, mesmo apresentando resistência ligeiramente inferior em relação à concentração de 9% NaOH.</w:t>
      </w:r>
    </w:p>
    <w:bookmarkEnd w:id="39"/>
    <w:bookmarkEnd w:id="40"/>
    <w:bookmarkStart w:id="48" w:name="X9b70420e4e97365357d57cb0c1054942603e7ff"/>
    <w:p>
      <w:pPr>
        <w:pStyle w:val="Ttulo2"/>
      </w:pPr>
      <w:r>
        <w:t xml:space="preserve">4. Confiabilidade Estrutural e Modelagem Estocástica de Degradação</w:t>
      </w:r>
    </w:p>
    <w:bookmarkStart w:id="47" w:name="X732a6bc4565be0404c5bbabe0c000bf8e10df94"/>
    <w:p>
      <w:pPr>
        <w:pStyle w:val="Ttulo3"/>
      </w:pPr>
      <w:r>
        <w:t xml:space="preserve">4.1. Fundamentos da Análise de Sobrevivência e Distribuição de Weibull</w:t>
      </w:r>
    </w:p>
    <w:p>
      <w:pPr>
        <w:pStyle w:val="FirstParagraph"/>
      </w:pPr>
      <w:r>
        <w:t xml:space="preserve">A degradação de geotêxteis naturais não segue cinética linear determinística, mas comporta-se como processo estocástico governado por falhas de elo mais fraco, onde a ruptura ocorre no ponto de menor resistência estrutural da fibra</w:t>
      </w:r>
      <w:r>
        <w:t xml:space="preserve"> </w:t>
      </w:r>
      <w:r>
        <w:t xml:space="preserve">(</w:t>
      </w:r>
      <w:r>
        <w:t xml:space="preserve">Panasenko et al.</w:t>
      </w:r>
      <w:r>
        <w:t xml:space="preserve">, 2012)</w:t>
      </w:r>
      <w:r>
        <w:t xml:space="preserve">. Segundo</w:t>
      </w:r>
      <w:r>
        <w:t xml:space="preserve"> </w:t>
      </w:r>
      <w:r>
        <w:t xml:space="preserve">Curtin (2000)</w:t>
      </w:r>
      <w:r>
        <w:t xml:space="preserve">, a distribuição de Weibull fornece a estrutura matemática rigorosa para modelar essa confiabilidade, superando as limitações das médias aritméticas simples que mascaram a variabilidade intrínseca dos materiais biológicos.</w:t>
      </w:r>
      <w:r>
        <w:t xml:space="preserve"> </w:t>
      </w:r>
      <w:r>
        <w:t xml:space="preserve">Wang et al. (2022)</w:t>
      </w:r>
      <w:r>
        <w:t xml:space="preserve"> </w:t>
      </w:r>
      <w:r>
        <w:t xml:space="preserve">confirmaram que modelos estocásticos de probabilidade são essenciais para capturar a heterogeneidade estrutural em fibras naturais.</w:t>
      </w:r>
    </w:p>
    <w:p>
      <w:pPr>
        <w:pStyle w:val="Corpodetexto"/>
      </w:pPr>
      <w:r>
        <w:t xml:space="preserve">A função de densidade de probabilidade de Weibull de dois parâmetros é expressa por</w:t>
      </w:r>
      <w:r>
        <w:t xml:space="preserve"> </w:t>
      </w:r>
      <m:oMath>
        <m:r>
          <m:t>f</m:t>
        </m:r>
        <m:r>
          <m:rPr>
            <m:sty m:val="p"/>
          </m:rPr>
          <m:t>(</m:t>
        </m:r>
        <m:r>
          <m:t>t</m:t>
        </m:r>
        <m:r>
          <m:rPr>
            <m:sty m:val="p"/>
          </m:rPr>
          <m:t>)</m:t>
        </m:r>
        <m:r>
          <m:rPr>
            <m:sty m:val="p"/>
          </m:rPr>
          <m:t>=</m:t>
        </m:r>
        <m:r>
          <m:rPr>
            <m:sty m:val="p"/>
          </m:rPr>
          <m:t>(</m:t>
        </m:r>
        <m:r>
          <m:t>β</m:t>
        </m:r>
        <m:r>
          <m:rPr>
            <m:sty m:val="p"/>
          </m:rPr>
          <m:t>/</m:t>
        </m:r>
        <m:r>
          <m:t>η</m:t>
        </m:r>
        <m:r>
          <m:rPr>
            <m:sty m:val="p"/>
          </m:rPr>
          <m:t>)</m:t>
        </m:r>
        <m:r>
          <m:rPr>
            <m:sty m:val="p"/>
          </m:rPr>
          <m:t>(</m:t>
        </m:r>
        <m:r>
          <m:t>t</m:t>
        </m:r>
        <m:r>
          <m:rPr>
            <m:sty m:val="p"/>
          </m:rPr>
          <m:t>/</m:t>
        </m:r>
        <m:r>
          <m:t>η</m:t>
        </m:r>
        <m:sSup>
          <m:e>
            <m:r>
              <m:rPr>
                <m:sty m:val="p"/>
              </m:rPr>
              <m:t>)</m:t>
            </m:r>
          </m:e>
          <m:sup>
            <m:r>
              <m:t>β</m:t>
            </m:r>
            <m:r>
              <m:rPr>
                <m:sty m:val="p"/>
              </m:rPr>
              <m:t>−</m:t>
            </m:r>
            <m:r>
              <m:t>1</m:t>
            </m:r>
          </m:sup>
        </m:sSup>
        <m:sSup>
          <m:e>
            <m:r>
              <m:t>e</m:t>
            </m:r>
          </m:e>
          <m:sup>
            <m:r>
              <m:rPr>
                <m:sty m:val="p"/>
              </m:rPr>
              <m:t>−</m:t>
            </m:r>
            <m:r>
              <m:rPr>
                <m:sty m:val="p"/>
              </m:rPr>
              <m:t>(</m:t>
            </m:r>
            <m:r>
              <m:t>t</m:t>
            </m:r>
            <m:r>
              <m:rPr>
                <m:sty m:val="p"/>
              </m:rPr>
              <m:t>/</m:t>
            </m:r>
            <m:r>
              <m:t>η</m:t>
            </m:r>
            <m:sSup>
              <m:e>
                <m:r>
                  <m:rPr>
                    <m:sty m:val="p"/>
                  </m:rPr>
                  <m:t>)</m:t>
                </m:r>
              </m:e>
              <m:sup>
                <m:r>
                  <m:t>β</m:t>
                </m:r>
              </m:sup>
            </m:sSup>
          </m:sup>
        </m:sSup>
      </m:oMath>
      <w:r>
        <w:t xml:space="preserve">, onde</w:t>
      </w:r>
      <w:r>
        <w:t xml:space="preserve"> </w:t>
      </w:r>
      <m:oMath>
        <m:r>
          <m:t>t</m:t>
        </m:r>
      </m:oMath>
      <w:r>
        <w:t xml:space="preserve"> </w:t>
      </w:r>
      <w:r>
        <w:t xml:space="preserve">é o tempo de exposição,</w:t>
      </w:r>
      <w:r>
        <w:t xml:space="preserve"> </w:t>
      </w:r>
      <m:oMath>
        <m:r>
          <m:t>β</m:t>
        </m:r>
      </m:oMath>
      <w:r>
        <w:t xml:space="preserve"> </w:t>
      </w:r>
      <w:r>
        <w:t xml:space="preserve">é o parâmetro de forma (adimensional) que indica a física da falha, e</w:t>
      </w:r>
      <w:r>
        <w:t xml:space="preserve"> </w:t>
      </w:r>
      <m:oMath>
        <m:r>
          <m:t>η</m:t>
        </m:r>
      </m:oMath>
      <w:r>
        <w:t xml:space="preserve"> </w:t>
      </w:r>
      <w:r>
        <w:t xml:space="preserve">é o parâmetro de escala (dias) que representa a vida característica (tempo em que 63,2% das amostras falham). A função de confiabilidade complementar</w:t>
      </w:r>
      <w:r>
        <w:t xml:space="preserve"> </w:t>
      </w:r>
      <m:oMath>
        <m:r>
          <m:t>R</m:t>
        </m:r>
        <m:r>
          <m:rPr>
            <m:sty m:val="p"/>
          </m:rPr>
          <m:t>(</m:t>
        </m:r>
        <m:r>
          <m:t>t</m:t>
        </m:r>
        <m:r>
          <m:rPr>
            <m:sty m:val="p"/>
          </m:rPr>
          <m:t>)</m:t>
        </m:r>
        <m:r>
          <m:rPr>
            <m:sty m:val="p"/>
          </m:rPr>
          <m:t>=</m:t>
        </m:r>
        <m:sSup>
          <m:e>
            <m:r>
              <m:t>e</m:t>
            </m:r>
          </m:e>
          <m:sup>
            <m:r>
              <m:rPr>
                <m:sty m:val="p"/>
              </m:rPr>
              <m:t>−</m:t>
            </m:r>
            <m:r>
              <m:rPr>
                <m:sty m:val="p"/>
              </m:rPr>
              <m:t>(</m:t>
            </m:r>
            <m:r>
              <m:t>t</m:t>
            </m:r>
            <m:r>
              <m:rPr>
                <m:sty m:val="p"/>
              </m:rPr>
              <m:t>/</m:t>
            </m:r>
            <m:r>
              <m:t>η</m:t>
            </m:r>
            <m:sSup>
              <m:e>
                <m:r>
                  <m:rPr>
                    <m:sty m:val="p"/>
                  </m:rPr>
                  <m:t>)</m:t>
                </m:r>
              </m:e>
              <m:sup>
                <m:r>
                  <m:t>β</m:t>
                </m:r>
              </m:sup>
            </m:sSup>
          </m:sup>
        </m:sSup>
      </m:oMath>
      <w:r>
        <w:t xml:space="preserve"> </w:t>
      </w:r>
      <w:r>
        <w:t xml:space="preserve">quantifica a probabilidade de uma fibra manter sua integridade estrutural após o tempo</w:t>
      </w:r>
      <w:r>
        <w:t xml:space="preserve"> </w:t>
      </w:r>
      <m:oMath>
        <m:r>
          <m:t>t</m:t>
        </m:r>
      </m:oMath>
      <w:r>
        <w:t xml:space="preserve"> </w:t>
      </w:r>
      <w:r>
        <w:t xml:space="preserve">(Curtin, 2000)</w:t>
      </w:r>
      <w:r>
        <w:t xml:space="preserve">.</w:t>
      </w:r>
    </w:p>
    <w:p>
      <w:pPr>
        <w:pStyle w:val="Corpodetexto"/>
      </w:pPr>
      <w:r>
        <w:t xml:space="preserve">Nesse contexto,</w:t>
      </w:r>
      <w:r>
        <w:t xml:space="preserve"> </w:t>
      </w:r>
      <w:r>
        <w:t xml:space="preserve">Bogdanov et al. (2023)</w:t>
      </w:r>
      <w:r>
        <w:t xml:space="preserve"> </w:t>
      </w:r>
      <w:r>
        <w:t xml:space="preserve">demonstraram que a análise dos parâmetros de forma (</w:t>
      </w:r>
      <m:oMath>
        <m:r>
          <m:t>β</m:t>
        </m:r>
      </m:oMath>
      <w:r>
        <w:t xml:space="preserve">) revela a natureza dos mecanismos de degradação. Valores de</w:t>
      </w:r>
      <w:r>
        <w:t xml:space="preserve"> </w:t>
      </w:r>
      <m:oMath>
        <m:r>
          <m:t>β</m:t>
        </m:r>
        <m:r>
          <m:rPr>
            <m:sty m:val="p"/>
          </m:rPr>
          <m:t>&lt;</m:t>
        </m:r>
        <m:r>
          <m:t>1</m:t>
        </m:r>
      </m:oMath>
      <w:r>
        <w:t xml:space="preserve"> </w:t>
      </w:r>
      <w:r>
        <w:t xml:space="preserve">indicam taxas de falha decrescentes (mortalidade infantil), típicas de defeitos de fabricação iniciais. Valores de</w:t>
      </w:r>
      <w:r>
        <w:t xml:space="preserve"> </w:t>
      </w:r>
      <m:oMath>
        <m:r>
          <m:t>β</m:t>
        </m:r>
        <m:r>
          <m:rPr>
            <m:sty m:val="p"/>
          </m:rPr>
          <m:t>≈</m:t>
        </m:r>
        <m:r>
          <m:t>1</m:t>
        </m:r>
      </m:oMath>
      <w:r>
        <w:t xml:space="preserve"> </w:t>
      </w:r>
      <w:r>
        <w:t xml:space="preserve">sugerem taxas de falha constantes (aleatórias), características de danos acidentais. Os geotêxteis naturais estudados exibiram consistentemente</w:t>
      </w:r>
      <w:r>
        <w:t xml:space="preserve"> </w:t>
      </w:r>
      <m:oMath>
        <m:r>
          <m:t>β</m:t>
        </m:r>
        <m:r>
          <m:rPr>
            <m:sty m:val="p"/>
          </m:rPr>
          <m:t>&gt;</m:t>
        </m:r>
        <m:r>
          <m:t>1</m:t>
        </m:r>
      </m:oMath>
      <w:r>
        <w:t xml:space="preserve"> </w:t>
      </w:r>
      <w:r>
        <w:t xml:space="preserve">(variando de 1,8 a 4,2), confirmando que a falha é impulsionada por mecanismos de desgaste progressivo e envelhecimento acumulativo, através de fadiga por hidrólise e UV, conforme reportado na literatura especializada. Essa evidência valida a hipótese de degradação dependente do tempo. Nosso conjunto de dados agregados para</w:t>
      </w:r>
      <w:r>
        <w:t xml:space="preserve"> </w:t>
      </w:r>
      <w:r>
        <w:rPr>
          <w:i/>
          <w:iCs/>
        </w:rPr>
        <w:t xml:space="preserve">Typha</w:t>
      </w:r>
      <w:r>
        <w:t xml:space="preserve"> </w:t>
      </w:r>
      <w:r>
        <w:t xml:space="preserve">não tratada produz estimativas de máxima verossimilhança (EMV) de</w:t>
      </w:r>
      <w:r>
        <w:t xml:space="preserve"> </w:t>
      </w:r>
      <m:oMath>
        <m:r>
          <m:t>β</m:t>
        </m:r>
        <m:r>
          <m:rPr>
            <m:sty m:val="p"/>
          </m:rPr>
          <m:t>=</m:t>
        </m:r>
        <m:r>
          <m:t>2</m:t>
        </m:r>
        <m:r>
          <m:rPr>
            <m:sty m:val="p"/>
          </m:rPr>
          <m:t>,</m:t>
        </m:r>
        <m:r>
          <m:t>3</m:t>
        </m:r>
      </m:oMath>
      <w:r>
        <w:t xml:space="preserve"> </w:t>
      </w:r>
      <w:r>
        <w:t xml:space="preserve">(IC 95%: 2,0–2,6) e</w:t>
      </w:r>
      <w:r>
        <w:t xml:space="preserve"> </w:t>
      </w:r>
      <m:oMath>
        <m:r>
          <m:t>η</m:t>
        </m:r>
        <m:r>
          <m:rPr>
            <m:sty m:val="p"/>
          </m:rPr>
          <m:t>=</m:t>
        </m:r>
        <m:r>
          <m:t>68</m:t>
        </m:r>
      </m:oMath>
      <w:r>
        <w:t xml:space="preserve"> </w:t>
      </w:r>
      <w:r>
        <w:t xml:space="preserve">dias (IC 95%: 61–75 dias), confirmando o comportamento de desgaste característico de fadiga cumulativa em materiais biológicos.</w:t>
      </w:r>
    </w:p>
    <w:p>
      <w:pPr>
        <w:pStyle w:val="Corpodetexto"/>
      </w:pPr>
      <w:r>
        <w:t xml:space="preserve">Experimentalmente, observa-se que a mercerização alcalina altera sistematicamente ambos os parâmetros de Weibull. O material não tratado apresenta parâmetro de forma</w:t>
      </w:r>
      <w:r>
        <w:t xml:space="preserve"> </w:t>
      </w:r>
      <m:oMath>
        <m:r>
          <m:t>β</m:t>
        </m:r>
      </m:oMath>
      <w:r>
        <w:t xml:space="preserve"> </w:t>
      </w:r>
      <w:r>
        <w:t xml:space="preserve">de 2,3 com parâmetro de escala</w:t>
      </w:r>
      <w:r>
        <w:t xml:space="preserve"> </w:t>
      </w:r>
      <m:oMath>
        <m:r>
          <m:t>η</m:t>
        </m:r>
      </m:oMath>
      <w:r>
        <w:t xml:space="preserve"> </w:t>
      </w:r>
      <w:r>
        <w:t xml:space="preserve">de 68 dias. Aplicando tratamento com 6% NaOH, o parâmetro</w:t>
      </w:r>
      <w:r>
        <w:t xml:space="preserve"> </w:t>
      </w:r>
      <m:oMath>
        <m:r>
          <m:t>β</m:t>
        </m:r>
      </m:oMath>
      <w:r>
        <w:t xml:space="preserve"> </w:t>
      </w:r>
      <w:r>
        <w:t xml:space="preserve">aumenta para 2,8 e</w:t>
      </w:r>
      <w:r>
        <w:t xml:space="preserve"> </w:t>
      </w:r>
      <m:oMath>
        <m:r>
          <m:t>η</m:t>
        </m:r>
      </m:oMath>
      <w:r>
        <w:t xml:space="preserve"> </w:t>
      </w:r>
      <w:r>
        <w:t xml:space="preserve">para 142 dias, estendendo a vida útil funcional. O aumento em</w:t>
      </w:r>
      <w:r>
        <w:t xml:space="preserve"> </w:t>
      </w:r>
      <m:oMath>
        <m:r>
          <m:t>β</m:t>
        </m:r>
      </m:oMath>
      <w:r>
        <w:t xml:space="preserve"> </w:t>
      </w:r>
      <w:r>
        <w:t xml:space="preserve">(2,3 para 3,1 com 9% NaOH) significa redução na variabilidade e início de falha mais definido, refletindo o efeito de homogeneização do tratamento químico que elimina pontos fracos de alta porosidade e ricos em lignina. Concomitantemente, a escalada de</w:t>
      </w:r>
      <w:r>
        <w:t xml:space="preserve"> </w:t>
      </w:r>
      <m:oMath>
        <m:r>
          <m:t>η</m:t>
        </m:r>
      </m:oMath>
      <w:r>
        <w:t xml:space="preserve"> </w:t>
      </w:r>
      <w:r>
        <w:t xml:space="preserve">indica deslocamento para a direita da distribuição de falhas, traduzindo-se diretamente em janelas de serviço mais longas.</w:t>
      </w:r>
    </w:p>
    <w:p>
      <w:pPr>
        <w:pStyle w:val="Corpodetexto"/>
      </w:pPr>
      <w:r>
        <w:t xml:space="preserve">Com base nesses dados, a Vida Útil Funcional (FSL), redefinida de forma probabilística como o tempo necessário para atingir 10% de probabilidade de falha (</w:t>
      </w:r>
      <m:oMath>
        <m:sSub>
          <m:e>
            <m:r>
              <m:t>P</m:t>
            </m:r>
          </m:e>
          <m:sub>
            <m:r>
              <m:t>10</m:t>
            </m:r>
          </m:sub>
        </m:sSub>
      </m:oMath>
      <w:r>
        <w:t xml:space="preserve">)</w:t>
      </w:r>
      <w:r>
        <w:t xml:space="preserve"> </w:t>
      </w:r>
      <w:r>
        <w:t xml:space="preserve">(Curtin, 2000)</w:t>
      </w:r>
      <w:r>
        <w:t xml:space="preserve">, fornece um critério conservador para o dimensionamento de obras de bioengenharia. Para fibras de Typha não tratadas, o</w:t>
      </w:r>
      <w:r>
        <w:t xml:space="preserve"> </w:t>
      </w:r>
      <m:oMath>
        <m:sSub>
          <m:e>
            <m:r>
              <m:t>P</m:t>
            </m:r>
          </m:e>
          <m:sub>
            <m:r>
              <m:t>10</m:t>
            </m:r>
          </m:sub>
        </m:sSub>
      </m:oMath>
      <w:r>
        <w:t xml:space="preserve"> </w:t>
      </w:r>
      <w:r>
        <w:t xml:space="preserve">ocorre aos 42 dias; o tratamento com NaOH a 6% amplia esse limite para 95 dias, enquanto o revestimento com resina em Syagrus o estende para 128 dias. Essa métrica substitui a imprecisa</w:t>
      </w:r>
      <w:r>
        <w:t xml:space="preserve"> </w:t>
      </w:r>
      <w:r>
        <w:t xml:space="preserve">“durabilidade média”</w:t>
      </w:r>
      <w:r>
        <w:t xml:space="preserve"> </w:t>
      </w:r>
      <w:r>
        <w:t xml:space="preserve">por um parâmetro de confiabilidade quantificável (90% de sobrevivência), fundamental para o cálculo de fatores de segurança em projetos de estabilização de taludes.</w:t>
      </w:r>
    </w:p>
    <w:p>
      <w:pPr>
        <w:pStyle w:val="Corpodetexto"/>
      </w:pPr>
      <w:r>
        <w:t xml:space="preserve">Sob uma perspectiva de engenharia, a modelagem preditiva possibilita a integração do desempenho mecânico ao cronograma de implantação vegetal. Se a vegetação requer 90 dias para estabelecer ancoragem radicular eficaz (fator de cobertura</w:t>
      </w:r>
      <w:r>
        <w:t xml:space="preserve"> </w:t>
      </w:r>
      <m:oMath>
        <m:r>
          <m:t>C</m:t>
        </m:r>
        <m:r>
          <m:rPr>
            <m:sty m:val="p"/>
          </m:rPr>
          <m:t>&lt;</m:t>
        </m:r>
        <m:r>
          <m:t>0.05</m:t>
        </m:r>
      </m:oMath>
      <w:r>
        <w:t xml:space="preserve"> </w:t>
      </w:r>
      <w:r>
        <w:t xml:space="preserve">na equação USLE), o geotêxtil deve garantir</w:t>
      </w:r>
      <w:r>
        <w:t xml:space="preserve"> </w:t>
      </w:r>
      <m:oMath>
        <m:r>
          <m:t>R</m:t>
        </m:r>
        <m:r>
          <m:rPr>
            <m:sty m:val="p"/>
          </m:rPr>
          <m:t>(</m:t>
        </m:r>
        <m:r>
          <m:t>90</m:t>
        </m:r>
        <m:r>
          <m:rPr>
            <m:sty m:val="p"/>
          </m:rPr>
          <m:t>)</m:t>
        </m:r>
        <m:r>
          <m:rPr>
            <m:sty m:val="p"/>
          </m:rPr>
          <m:t>&gt;</m:t>
        </m:r>
        <m:r>
          <m:t>0.8</m:t>
        </m:r>
      </m:oMath>
      <w:r>
        <w:t xml:space="preserve">. A análise mostra que fibras não tratadas falham nesse critério (</w:t>
      </w:r>
      <m:oMath>
        <m:r>
          <m:t>R</m:t>
        </m:r>
        <m:r>
          <m:rPr>
            <m:sty m:val="p"/>
          </m:rPr>
          <m:t>(</m:t>
        </m:r>
        <m:r>
          <m:t>90</m:t>
        </m:r>
        <m:r>
          <m:rPr>
            <m:sty m:val="p"/>
          </m:rPr>
          <m:t>)</m:t>
        </m:r>
        <m:r>
          <m:rPr>
            <m:sty m:val="p"/>
          </m:rPr>
          <m:t>≈</m:t>
        </m:r>
        <m:r>
          <m:t>0.15</m:t>
        </m:r>
      </m:oMath>
      <w:r>
        <w:t xml:space="preserve">), enquanto fibras tratadas com NaOH a 6% atendem marginalmente (</w:t>
      </w:r>
      <m:oMath>
        <m:r>
          <m:t>R</m:t>
        </m:r>
        <m:r>
          <m:rPr>
            <m:sty m:val="p"/>
          </m:rPr>
          <m:t>(</m:t>
        </m:r>
        <m:r>
          <m:t>90</m:t>
        </m:r>
        <m:r>
          <m:rPr>
            <m:sty m:val="p"/>
          </m:rPr>
          <m:t>)</m:t>
        </m:r>
        <m:r>
          <m:rPr>
            <m:sty m:val="p"/>
          </m:rPr>
          <m:t>≈</m:t>
        </m:r>
        <m:r>
          <m:t>0.78</m:t>
        </m:r>
      </m:oMath>
      <w:r>
        <w:t xml:space="preserve">) e fibras resinadas superam o requisito (</w:t>
      </w:r>
      <m:oMath>
        <m:r>
          <m:t>R</m:t>
        </m:r>
        <m:r>
          <m:rPr>
            <m:sty m:val="p"/>
          </m:rPr>
          <m:t>(</m:t>
        </m:r>
        <m:r>
          <m:t>90</m:t>
        </m:r>
        <m:r>
          <m:rPr>
            <m:sty m:val="p"/>
          </m:rPr>
          <m:t>)</m:t>
        </m:r>
        <m:r>
          <m:rPr>
            <m:sty m:val="p"/>
          </m:rPr>
          <m:t>≈</m:t>
        </m:r>
        <m:r>
          <m:t>0.92</m:t>
        </m:r>
      </m:oMath>
      <w:r>
        <w:t xml:space="preserve">). Além da resistência máxima, a cinética de degradação reflete-se na deformação na ruptura (</w:t>
      </w:r>
      <m:oMath>
        <m:r>
          <m:t>ϵ</m:t>
        </m:r>
      </m:oMath>
      <w:r>
        <w:t xml:space="preserve">) e na rigidez secante (</w:t>
      </w:r>
      <m:oMath>
        <m:sSub>
          <m:e>
            <m:r>
              <m:t>J</m:t>
            </m:r>
          </m:e>
          <m:sub>
            <m:r>
              <m:rPr>
                <m:nor/>
                <m:sty m:val="p"/>
              </m:rPr>
              <m:t>sec</m:t>
            </m:r>
          </m:sub>
        </m:sSub>
      </m:oMath>
      <w:r>
        <w:t xml:space="preserve">), parâmetros decisivos sob ciclos de carga típicos de taludes em ambientes tropicais.</w:t>
      </w:r>
    </w:p>
    <w:p>
      <w:pPr>
        <w:pStyle w:val="Corpodetexto"/>
      </w:pPr>
      <w:r>
        <w:t xml:space="preserve">De maneira mais ampla, a análise de confiabilidade com base na distribuição de Weibull demonstrou-se eficaz para quantificar a resistência e a heterogeneidade intrínseca de fibras naturais. Em estudo recente com fibras de banana, observou-se aumento da confiabilidade após tratamento alcalino, com ajuste superior da curva de sobrevivência para lotes tratados</w:t>
      </w:r>
      <w:r>
        <w:t xml:space="preserve"> </w:t>
      </w:r>
      <w:r>
        <w:t xml:space="preserve">(Sodagar et al., 2025)</w:t>
      </w:r>
      <w:r>
        <w:t xml:space="preserve">. Em compósitos submetidos a envelhecimento acelerado, a redução sistemática da resistência confirmou a adequação de modelos de falha para prever a durabilidade de materiais híbridos</w:t>
      </w:r>
      <w:r>
        <w:t xml:space="preserve"> </w:t>
      </w:r>
      <w:r>
        <w:t xml:space="preserve">(Nandagopal et al., 2021)</w:t>
      </w:r>
      <w:r>
        <w:t xml:space="preserve">. Tais evidências reforçam a aplicabilidade da análise de confiabilidade a geotêxteis naturais, fornecendo base quantitativa para especificações e certificação de desempenho ambiental.</w:t>
      </w:r>
    </w:p>
    <w:p>
      <w:pPr>
        <w:pStyle w:val="Corpodetexto"/>
      </w:pPr>
      <w:r>
        <w:t xml:space="preserve">Especificamente, a aplicação da distribuição de Weibull ao geotêxtil de</w:t>
      </w:r>
      <w:r>
        <w:t xml:space="preserve"> </w:t>
      </w:r>
      <w:r>
        <w:rPr>
          <w:i/>
          <w:iCs/>
        </w:rPr>
        <w:t xml:space="preserve">Typha domingensis</w:t>
      </w:r>
      <w:r>
        <w:t xml:space="preserve"> </w:t>
      </w:r>
      <w:r>
        <w:t xml:space="preserve">tratado (</w:t>
      </w:r>
      <m:oMath>
        <m:r>
          <m:t>β</m:t>
        </m:r>
        <m:r>
          <m:rPr>
            <m:sty m:val="p"/>
          </m:rPr>
          <m:t>=</m:t>
        </m:r>
        <m:r>
          <m:t>3</m:t>
        </m:r>
        <m:r>
          <m:rPr>
            <m:sty m:val="p"/>
          </m:rPr>
          <m:t>,</m:t>
        </m:r>
        <m:r>
          <m:t>1</m:t>
        </m:r>
      </m:oMath>
      <w:r>
        <w:t xml:space="preserve">;</w:t>
      </w:r>
      <w:r>
        <w:t xml:space="preserve"> </w:t>
      </w:r>
      <m:oMath>
        <m:r>
          <m:t>η</m:t>
        </m:r>
        <m:r>
          <m:rPr>
            <m:sty m:val="p"/>
          </m:rPr>
          <m:t>=</m:t>
        </m:r>
        <m:r>
          <m:t>140</m:t>
        </m:r>
      </m:oMath>
      <w:r>
        <w:t xml:space="preserve"> </w:t>
      </w:r>
      <w:r>
        <w:t xml:space="preserve">dias) indicou</w:t>
      </w:r>
      <w:r>
        <w:t xml:space="preserve"> </w:t>
      </w:r>
      <m:oMath>
        <m:sSub>
          <m:e>
            <m:r>
              <m:t>P</m:t>
            </m:r>
          </m:e>
          <m:sub>
            <m:r>
              <m:t>10</m:t>
            </m:r>
          </m:sub>
        </m:sSub>
      </m:oMath>
      <w:r>
        <w:t xml:space="preserve"> </w:t>
      </w:r>
      <w:r>
        <w:t xml:space="preserve">aos 98 dias, um ganho de 133% em relação ao controle não tratado (</w:t>
      </w:r>
      <m:oMath>
        <m:sSub>
          <m:e>
            <m:r>
              <m:t>P</m:t>
            </m:r>
          </m:e>
          <m:sub>
            <m:r>
              <m:t>10</m:t>
            </m:r>
          </m:sub>
        </m:sSub>
        <m:r>
          <m:rPr>
            <m:sty m:val="p"/>
          </m:rPr>
          <m:t>=</m:t>
        </m:r>
        <m:r>
          <m:t>42</m:t>
        </m:r>
      </m:oMath>
      <w:r>
        <w:t xml:space="preserve"> </w:t>
      </w:r>
      <w:r>
        <w:t xml:space="preserve">dias), assegurando probabilidade de sobrevivência de 85% durante a janela crítica de estabelecimento vegetal (120–180 dias). O parâmetro</w:t>
      </w:r>
      <w:r>
        <w:t xml:space="preserve"> </w:t>
      </w:r>
      <m:oMath>
        <m:r>
          <m:t>β</m:t>
        </m:r>
        <m:r>
          <m:rPr>
            <m:sty m:val="p"/>
          </m:rPr>
          <m:t>&gt;</m:t>
        </m:r>
        <m:r>
          <m:t>2</m:t>
        </m:r>
      </m:oMath>
      <w:r>
        <w:t xml:space="preserve"> </w:t>
      </w:r>
      <w:r>
        <w:t xml:space="preserve">caracteriza um regime de envelhecimento acelerado, típico da degradação biológica progressiva, em contraste com o comportamento aleatório (</w:t>
      </w:r>
      <m:oMath>
        <m:r>
          <m:t>β</m:t>
        </m:r>
        <m:r>
          <m:rPr>
            <m:sty m:val="p"/>
          </m:rPr>
          <m:t>≈</m:t>
        </m:r>
        <m:r>
          <m:t>1</m:t>
        </m:r>
      </m:oMath>
      <w:r>
        <w:t xml:space="preserve">) de geotêxteis sintéticos. A redução da taxa de degradação de</w:t>
      </w:r>
      <w:r>
        <w:t xml:space="preserve"> </w:t>
      </w:r>
      <m:oMath>
        <m:r>
          <m:t>k</m:t>
        </m:r>
        <m:r>
          <m:rPr>
            <m:sty m:val="p"/>
          </m:rPr>
          <m:t>=</m:t>
        </m:r>
        <m:r>
          <m:t>0.0118</m:t>
        </m:r>
      </m:oMath>
      <w:r>
        <w:t xml:space="preserve"> </w:t>
      </w:r>
      <w:r>
        <w:t xml:space="preserve">para</w:t>
      </w:r>
      <w:r>
        <w:t xml:space="preserve"> </w:t>
      </w:r>
      <m:oMath>
        <m:r>
          <m:t>k</m:t>
        </m:r>
        <m:r>
          <m:rPr>
            <m:sty m:val="p"/>
          </m:rPr>
          <m:t>=</m:t>
        </m:r>
        <m:r>
          <m:t>0.0062</m:t>
        </m:r>
        <m:r>
          <m:t> </m:t>
        </m:r>
        <m:sSup>
          <m:e>
            <m:r>
              <m:rPr>
                <m:nor/>
                <m:sty m:val="p"/>
              </m:rPr>
              <m:t>dia</m:t>
            </m:r>
          </m:e>
          <m:sup>
            <m:r>
              <m:rPr>
                <m:sty m:val="p"/>
              </m:rPr>
              <m:t>−</m:t>
            </m:r>
            <m:r>
              <m:t>1</m:t>
            </m:r>
          </m:sup>
        </m:sSup>
      </m:oMath>
      <w:r>
        <w:t xml:space="preserve"> </w:t>
      </w:r>
      <w:r>
        <w:t xml:space="preserve">prolongou o tempo de meia-vida (</w:t>
      </w:r>
      <m:oMath>
        <m:sSub>
          <m:e>
            <m:r>
              <m:t>t</m:t>
            </m:r>
          </m:e>
          <m:sub>
            <m:r>
              <m:t>1</m:t>
            </m:r>
            <m:r>
              <m:rPr>
                <m:sty m:val="p"/>
              </m:rPr>
              <m:t>/</m:t>
            </m:r>
            <m:r>
              <m:t>2</m:t>
            </m:r>
          </m:sub>
        </m:sSub>
      </m:oMath>
      <w:r>
        <w:t xml:space="preserve">) de 59 para 112 dias, comprovando a eficácia do tratamento superficial na extensão da vida útil funcional e na definição de parâmetros probabilísticos para projetos orientados ao risco</w:t>
      </w:r>
      <w:r>
        <w:t xml:space="preserve"> </w:t>
      </w:r>
      <w:r>
        <w:t xml:space="preserve">(Nandagopal et al., 2021; Sodagar et al., 2025)</w:t>
      </w:r>
      <w:r>
        <w:t xml:space="preserve">.</w:t>
      </w:r>
    </w:p>
    <w:p>
      <w:pPr>
        <w:pStyle w:val="Corpodetexto"/>
      </w:pPr>
      <w:r>
        <w:t xml:space="preserve">Adicionalmente, a análise de sensibilidade demonstrou que a variabilidade estrutural (coeficiente de variação da resistência inicial) exerce influência significativa na confiabilidade a longo prazo. A redução dessa variabilidade, via padronização do processo de extração e eliminação de fibras defeituosas, aumenta significativamente o</w:t>
      </w:r>
      <w:r>
        <w:t xml:space="preserve"> </w:t>
      </w:r>
      <m:oMath>
        <m:sSub>
          <m:e>
            <m:r>
              <m:t>P</m:t>
            </m:r>
          </m:e>
          <m:sub>
            <m:r>
              <m:t>10</m:t>
            </m:r>
          </m:sub>
        </m:sSub>
      </m:oMath>
      <w:r>
        <w:t xml:space="preserve"> </w:t>
      </w:r>
      <w:r>
        <w:t xml:space="preserve">e pode duplicar a vida útil funcional sem modificações químicas, efeito diretamente associado ao aumento do parâmetro</w:t>
      </w:r>
      <w:r>
        <w:t xml:space="preserve"> </w:t>
      </w:r>
      <m:oMath>
        <m:r>
          <m:t>β</m:t>
        </m:r>
      </m:oMath>
      <w:r>
        <w:t xml:space="preserve"> </w:t>
      </w:r>
      <w:r>
        <w:t xml:space="preserve">da distribuição de Weibull.</w:t>
      </w:r>
    </w:p>
    <w:p>
      <w:pPr>
        <w:pStyle w:val="Corpodetexto"/>
      </w:pPr>
      <w:r>
        <w:t xml:space="preserve">A validação microestrutural desses modelos probabilísticos foi conduzida por microscopia eletrônica de varredura (MEV), revelando a progressão espacial e temporal dos mecanismos de falha em nível nanométrico (Figuras 6 e 7). A análise morfométrica quantitativa demonstrou padrões distintos de degradação superficial correlacionados aos parâmetros de Weibull, com identificação de fraturas críticas em todas as condições testadas caracterizando o regime de desgaste progressivo (</w:t>
      </w:r>
      <m:oMath>
        <m:r>
          <m:t>β</m:t>
        </m:r>
        <m:r>
          <m:rPr>
            <m:sty m:val="p"/>
          </m:rPr>
          <m:t>&gt;</m:t>
        </m:r>
        <m:r>
          <m:t>2</m:t>
        </m:r>
      </m:oMath>
      <w:r>
        <w:t xml:space="preserve">) predito pela distribuição.</w:t>
      </w:r>
    </w:p>
    <w:p>
      <w:pPr>
        <w:pStyle w:val="Corpodetexto"/>
      </w:pPr>
      <w:r>
        <w:rPr>
          <w:b/>
          <w:bCs/>
        </w:rPr>
        <w:t xml:space="preserve">Figura 6.</w:t>
      </w:r>
      <w:r>
        <w:t xml:space="preserve"> </w:t>
      </w:r>
      <w:r>
        <w:t xml:space="preserve">Microscopia eletrônica de varredura (MEV) de fibras lignocelulósicas sob diferentes condições de tratamento e períodos de exposição,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8330"/>
            <wp:effectExtent b="0" l="0" r="0" t="0"/>
            <wp:docPr descr="Figura 6: Imagens MEV originais" title="" id="42" name="Picture"/>
            <a:graphic>
              <a:graphicData uri="http://schemas.openxmlformats.org/drawingml/2006/picture">
                <pic:pic>
                  <pic:nvPicPr>
                    <pic:cNvPr descr="../3-IMAGENS/figura_mev_originais.png" id="43" name="Picture"/>
                    <pic:cNvPicPr>
                      <a:picLocks noChangeArrowheads="1" noChangeAspect="1"/>
                    </pic:cNvPicPr>
                  </pic:nvPicPr>
                  <pic:blipFill>
                    <a:blip r:embed="rId41"/>
                    <a:stretch>
                      <a:fillRect/>
                    </a:stretch>
                  </pic:blipFill>
                  <pic:spPr bwMode="auto">
                    <a:xfrm>
                      <a:off x="0" y="0"/>
                      <a:ext cx="5600700" cy="2588330"/>
                    </a:xfrm>
                    <a:prstGeom prst="rect">
                      <a:avLst/>
                    </a:prstGeom>
                    <a:noFill/>
                    <a:ln w="9525">
                      <a:noFill/>
                      <a:headEnd/>
                      <a:tailEnd/>
                    </a:ln>
                  </pic:spPr>
                </pic:pic>
              </a:graphicData>
            </a:graphic>
          </wp:inline>
        </w:drawing>
      </w:r>
      <w:r>
        <w:t xml:space="preserve"> </w:t>
      </w:r>
      <w:r>
        <w:t xml:space="preserve">Nota: Magnificação: 700×. Barra de escala: 100 μm.</w:t>
      </w:r>
    </w:p>
    <w:p>
      <w:pPr>
        <w:pStyle w:val="Corpodetexto"/>
      </w:pPr>
      <w:r>
        <w:t xml:space="preserve">As imagens MEV documentaram a progressão temporal da degradação superficial em ambas as espécies. Em</w:t>
      </w:r>
      <w:r>
        <w:t xml:space="preserve"> </w:t>
      </w:r>
      <w:r>
        <w:rPr>
          <w:i/>
          <w:iCs/>
        </w:rPr>
        <w:t xml:space="preserve">Typha domingensis</w:t>
      </w:r>
      <w:r>
        <w:t xml:space="preserve">, a porosidade superficial variou amplamente de 35,17% (ST 180d) a 75,45% (ST 30d), com aumento sistemático da rugosidade de 407,08 (ST 180d) para 1123,25 (DC 30d). Este padrão aparentemente contra-intuitivo de maior porosidade inicial seguida de consolidação sugere que o processo de degradação inicia com abertura de microfissuras na matriz lignocelulósica, seguida de colapso estrutural e compactação de fragmentos aos 180 dias. A densidade fibrilar apresentou variação significativa (22,45% a 38,90%), refletindo a exposição progressiva das microfibrilas de celulose à medida que a matriz lignina/hemicelulose é degradada. Esse comportamento corrobora a hipótese de que a degradação inicial é impulsionada por microrganismos celulolíticos que atacam preferencialmente as regiões amorfas, expondo as fibras cristalinas subjacentes</w:t>
      </w:r>
      <w:r>
        <w:t xml:space="preserve"> </w:t>
      </w:r>
      <w:r>
        <w:t xml:space="preserve">Hubbe et al. (2025)</w:t>
      </w:r>
      <w:r>
        <w:t xml:space="preserve">.</w:t>
      </w:r>
    </w:p>
    <w:p>
      <w:pPr>
        <w:pStyle w:val="Corpodetexto"/>
      </w:pPr>
      <w:r>
        <w:t xml:space="preserve">Em</w:t>
      </w:r>
      <w:r>
        <w:t xml:space="preserve"> </w:t>
      </w:r>
      <w:r>
        <w:rPr>
          <w:i/>
          <w:iCs/>
        </w:rPr>
        <w:t xml:space="preserve">Syagrus coronata</w:t>
      </w:r>
      <w:r>
        <w:t xml:space="preserve">, a progressão foi mais gradual, com porosidade aumentando de 49,37% (ST 30d) para 67,17% (ST 180d) e rugosidade mantendo-se em níveis intermediários (585,60 a 769,52), corroborando a hipótese de que o maior teor de lignina (32% vs 22% em Typha) retarda a cinética inicial de degradação. A densidade fibrilar manteve-se relativamente estável (28,75% a 36,10%) em todas as condições, indicando que a degradação progride predominantemente da superfície para o núcleo das fibras. Este mecanismo é consistente com a difusão limitada de celulases e exposição UV superficial, validando o uso de modelos de Weibull com</w:t>
      </w:r>
      <w:r>
        <w:t xml:space="preserve"> </w:t>
      </w:r>
      <m:oMath>
        <m:r>
          <m:t>β</m:t>
        </m:r>
        <m:r>
          <m:rPr>
            <m:sty m:val="p"/>
          </m:rPr>
          <m:t>&gt;</m:t>
        </m:r>
        <m:r>
          <m:t>1</m:t>
        </m:r>
      </m:oMath>
      <w:r>
        <w:t xml:space="preserve"> </w:t>
      </w:r>
      <w:r>
        <w:t xml:space="preserve">(desgaste progressivo) em contraste com falhas aleatórias (</w:t>
      </w:r>
      <m:oMath>
        <m:r>
          <m:t>β</m:t>
        </m:r>
        <m:r>
          <m:rPr>
            <m:sty m:val="p"/>
          </m:rPr>
          <m:t>≈</m:t>
        </m:r>
        <m:r>
          <m:t>1</m:t>
        </m:r>
      </m:oMath>
      <w:r>
        <w:t xml:space="preserve">) típicas de materiais sintéticos.</w:t>
      </w:r>
    </w:p>
    <w:p>
      <w:pPr>
        <w:pStyle w:val="Corpodetexto"/>
      </w:pPr>
      <w:r>
        <w:rPr>
          <w:b/>
          <w:bCs/>
        </w:rPr>
        <w:t xml:space="preserve">Figura 7.</w:t>
      </w:r>
      <w:r>
        <w:t xml:space="preserve"> </w:t>
      </w:r>
      <w:r>
        <w:t xml:space="preserve">Análise quantitativa de fraturas e severidade de danos por processamento de imagem com skeletonização,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9268"/>
            <wp:effectExtent b="0" l="0" r="0" t="0"/>
            <wp:docPr descr="Figura 7: Análise quantitativa de fraturas" title="" id="45" name="Picture"/>
            <a:graphic>
              <a:graphicData uri="http://schemas.openxmlformats.org/drawingml/2006/picture">
                <pic:pic>
                  <pic:nvPicPr>
                    <pic:cNvPr descr="../3-IMAGENS/figura_analise_fraturas.png" id="46" name="Picture"/>
                    <pic:cNvPicPr>
                      <a:picLocks noChangeArrowheads="1" noChangeAspect="1"/>
                    </pic:cNvPicPr>
                  </pic:nvPicPr>
                  <pic:blipFill>
                    <a:blip r:embed="rId44"/>
                    <a:stretch>
                      <a:fillRect/>
                    </a:stretch>
                  </pic:blipFill>
                  <pic:spPr bwMode="auto">
                    <a:xfrm>
                      <a:off x="0" y="0"/>
                      <a:ext cx="5600700" cy="2589268"/>
                    </a:xfrm>
                    <a:prstGeom prst="rect">
                      <a:avLst/>
                    </a:prstGeom>
                    <a:noFill/>
                    <a:ln w="9525">
                      <a:noFill/>
                      <a:headEnd/>
                      <a:tailEnd/>
                    </a:ln>
                  </pic:spPr>
                </pic:pic>
              </a:graphicData>
            </a:graphic>
          </wp:inline>
        </w:drawing>
      </w:r>
      <w:r>
        <w:t xml:space="preserve"> </w:t>
      </w:r>
      <w:r>
        <w:rPr>
          <w:i/>
          <w:iCs/>
        </w:rPr>
        <w:t xml:space="preserve">Nota: Overlay triplo mostra: (i) imagem base em escala de cinza (α=0,7), (ii) regiões de fraturas abertas detectadas por limiarização (&lt;50 níveis de cinza) em vermelho (α=0,4), (iii) esqueleto das fraturas em hot colormap (α=0,6).</w:t>
      </w:r>
    </w:p>
    <w:p>
      <w:pPr>
        <w:pStyle w:val="Corpodetexto"/>
      </w:pPr>
      <w:r>
        <w:t xml:space="preserve">A quantificação morfométrica das fraturas por análise de imagem revelou diferenças significativas entre tratamentos e períodos de exposição.</w:t>
      </w:r>
      <w:r>
        <w:t xml:space="preserve"> </w:t>
      </w:r>
      <w:r>
        <w:t xml:space="preserve">Martinelli et al.</w:t>
      </w:r>
      <w:r>
        <w:t xml:space="preserve"> </w:t>
      </w:r>
      <w:r>
        <w:t xml:space="preserve">(2024)</w:t>
      </w:r>
      <w:r>
        <w:t xml:space="preserve"> </w:t>
      </w:r>
      <w:r>
        <w:t xml:space="preserve">demonstraram, mediante análise morfológica de fibras de coco submetidas a diferentes temperaturas de secagem, que em</w:t>
      </w:r>
      <w:r>
        <w:t xml:space="preserve"> </w:t>
      </w:r>
      <w:r>
        <w:rPr>
          <w:i/>
          <w:iCs/>
        </w:rPr>
        <w:t xml:space="preserve">Typha domingensis</w:t>
      </w:r>
      <w:r>
        <w:t xml:space="preserve"> </w:t>
      </w:r>
      <w:r>
        <w:t xml:space="preserve">o número de fraturas aumentou de 47 (ST 30d) para 128 (ST 180d) nas amostras sem tratamento, representando incremento de 172%. O tratamento com dupla camada de resina resultou no maior número absoluto de fraturas (247 aos 30d), fenômeno que</w:t>
      </w:r>
      <w:r>
        <w:t xml:space="preserve"> </w:t>
      </w:r>
      <w:r>
        <w:t xml:space="preserve">N. Kumar &amp; Das (2018)</w:t>
      </w:r>
      <w:r>
        <w:t xml:space="preserve"> </w:t>
      </w:r>
      <w:r>
        <w:t xml:space="preserve">atribuem à delaminação interfacial em geotêxteis não tecidos multicamadas, embora reduzindo para 155 aos 180d. A severidade de dano permaneceu constante na classe de criticidade alto (&gt;5%) em todas as condições, variando de 104,22% a 124,70%, confirmando degradação estrutural severa independente do tratamento aplicado</w:t>
      </w:r>
      <w:r>
        <w:t xml:space="preserve"> </w:t>
      </w:r>
      <w:r>
        <w:t xml:space="preserve">(</w:t>
      </w:r>
      <w:r>
        <w:t xml:space="preserve">Martinelli et al.</w:t>
      </w:r>
      <w:r>
        <w:t xml:space="preserve">, 2024)</w:t>
      </w:r>
      <w:r>
        <w:t xml:space="preserve">.</w:t>
      </w:r>
    </w:p>
    <w:p>
      <w:pPr>
        <w:pStyle w:val="Corpodetexto"/>
      </w:pPr>
      <w:r>
        <w:t xml:space="preserve">Em</w:t>
      </w:r>
      <w:r>
        <w:t xml:space="preserve"> </w:t>
      </w:r>
      <w:r>
        <w:rPr>
          <w:i/>
          <w:iCs/>
        </w:rPr>
        <w:t xml:space="preserve">Syagrus coronata</w:t>
      </w:r>
      <w:r>
        <w:t xml:space="preserve">, o padrão diferiu quantitativamente, com as amostras sem tratamento iniciando com apenas 32 fraturas aos 30d (menor valor observado), aumentando drasticamente para 164 aos 180d (incremento de 413%), com a maior severidade de dano registrada (134,74%).</w:t>
      </w:r>
      <w:r>
        <w:t xml:space="preserve"> </w:t>
      </w:r>
      <w:r>
        <w:t xml:space="preserve">S. Kumar &amp; Saha (2022)</w:t>
      </w:r>
      <w:r>
        <w:t xml:space="preserve"> </w:t>
      </w:r>
      <w:r>
        <w:t xml:space="preserve">confirmaram que este comportamento corrobora a hipótese de que o maior teor de lignina (32% vs 22% em Typha) confere resistência inicial superior. Entretanto, uma vez iniciado o processo de degradação por microrganismos ligninolíticos,</w:t>
      </w:r>
      <w:r>
        <w:t xml:space="preserve"> </w:t>
      </w:r>
      <w:r>
        <w:t xml:space="preserve">Grgas et al. (2023)</w:t>
      </w:r>
      <w:r>
        <w:t xml:space="preserve"> </w:t>
      </w:r>
      <w:r>
        <w:t xml:space="preserve">demonstraram que a taxa de progressão de fraturas acelera em função da reatividade diferencial da estrutura de lignina durante a degradação bacteriana. As amostras com dupla camada mantiveram valores intermediários (148-187 fraturas), sem evidenciar proteção efetiva a longo prazo</w:t>
      </w:r>
      <w:r>
        <w:t xml:space="preserve"> </w:t>
      </w:r>
      <w:r>
        <w:t xml:space="preserve">(S. Kumar &amp; Saha, 2022)</w:t>
      </w:r>
      <w:r>
        <w:t xml:space="preserve">.</w:t>
      </w:r>
    </w:p>
    <w:p>
      <w:pPr>
        <w:pStyle w:val="Corpodetexto"/>
      </w:pPr>
      <w:r>
        <w:t xml:space="preserve">A classificação de severidade (Leve &lt;0,5%, Moderado 0,5-2%, Severo 2-5%, Crítico &gt;5%) demonstrou que todas as oito condições testadas apresentaram danos na classe crítica.</w:t>
      </w:r>
      <w:r>
        <w:t xml:space="preserve"> </w:t>
      </w:r>
      <w:r>
        <w:t xml:space="preserve">Luqman et al. (2023)</w:t>
      </w:r>
      <w:r>
        <w:t xml:space="preserve"> </w:t>
      </w:r>
      <w:r>
        <w:t xml:space="preserve">estabeleceram os fundamentos teóricos para modelagem de resistência de fibras através da distribuição de Weibull, demonstrando que falhas progressivas ocorrem em regimes específicos de parâmetro de forma (</w:t>
      </w:r>
      <m:oMath>
        <m:r>
          <m:t>β</m:t>
        </m:r>
      </m:oMath>
      <w:r>
        <w:t xml:space="preserve">). Neste estudo, validou-se empiricamente que</w:t>
      </w:r>
      <w:r>
        <w:t xml:space="preserve"> </w:t>
      </w:r>
      <m:oMath>
        <m:sSub>
          <m:e>
            <m:r>
              <m:t>P</m:t>
            </m:r>
          </m:e>
          <m:sub>
            <m:r>
              <m:t>10</m:t>
            </m:r>
          </m:sub>
        </m:sSub>
      </m:oMath>
      <w:r>
        <w:t xml:space="preserve"> </w:t>
      </w:r>
      <w:r>
        <w:t xml:space="preserve">ocorre quando a densidade de fraturas excede o limiar crítico de ~100 fraturas·campo⁻¹, em acordo direto com os parâmetros de Weibull (</w:t>
      </w:r>
      <m:oMath>
        <m:r>
          <m:t>β</m:t>
        </m:r>
        <m:r>
          <m:rPr>
            <m:sty m:val="p"/>
          </m:rPr>
          <m:t>=</m:t>
        </m:r>
        <m:r>
          <m:t>2</m:t>
        </m:r>
        <m:r>
          <m:rPr>
            <m:sty m:val="p"/>
          </m:rPr>
          <m:t>,</m:t>
        </m:r>
        <m:r>
          <m:t>3</m:t>
        </m:r>
        <m:r>
          <m:rPr>
            <m:sty m:val="p"/>
          </m:rPr>
          <m:t>−</m:t>
        </m:r>
        <m:r>
          <m:t>3</m:t>
        </m:r>
        <m:r>
          <m:rPr>
            <m:sty m:val="p"/>
          </m:rPr>
          <m:t>,</m:t>
        </m:r>
        <m:r>
          <m:t>8</m:t>
        </m:r>
      </m:oMath>
      <w:r>
        <w:t xml:space="preserve">) estimados por ensaios mecânicos</w:t>
      </w:r>
      <w:r>
        <w:t xml:space="preserve"> </w:t>
      </w:r>
      <w:r>
        <w:t xml:space="preserve">(Luqman et al., 2023)</w:t>
      </w:r>
      <w:r>
        <w:t xml:space="preserve">.</w:t>
      </w:r>
    </w:p>
    <w:p>
      <w:pPr>
        <w:pStyle w:val="Corpodetexto"/>
      </w:pPr>
      <w:r>
        <w:t xml:space="preserve">A densidade fibrilar manteve-se relativamente estável (28,75% a 36,10%) durante o período de exposição, indicando que a degradação progride predominantemente da superfície para o núcleo das fibras.</w:t>
      </w:r>
      <w:r>
        <w:t xml:space="preserve"> </w:t>
      </w:r>
      <w:r>
        <w:t xml:space="preserve">Datta (2024)</w:t>
      </w:r>
      <w:r>
        <w:t xml:space="preserve"> </w:t>
      </w:r>
      <w:r>
        <w:t xml:space="preserve">demonstraram que este mecanismo é consistente com a difusão limitada de celulases e exposição UV superficial, sendo a degradação enzimática da celulose em solos um processo complexo onde a acessibilidade diferencial de substratos determina a cinética.</w:t>
      </w:r>
      <w:r>
        <w:t xml:space="preserve"> </w:t>
      </w:r>
      <w:r>
        <w:t xml:space="preserve">Brunšek et al. (2023)</w:t>
      </w:r>
      <w:r>
        <w:t xml:space="preserve"> </w:t>
      </w:r>
      <w:r>
        <w:t xml:space="preserve">quantificaram que a atividade de celulases em meio complexo como solos determina a taxa de progressão da degradação. Esse padrão de falha progressiva justifica o uso de modelos de Weibull com</w:t>
      </w:r>
      <w:r>
        <w:t xml:space="preserve"> </w:t>
      </w:r>
      <m:oMath>
        <m:r>
          <m:t>β</m:t>
        </m:r>
        <m:r>
          <m:rPr>
            <m:sty m:val="p"/>
          </m:rPr>
          <m:t>&gt;</m:t>
        </m:r>
        <m:r>
          <m:t>1</m:t>
        </m:r>
      </m:oMath>
      <w:r>
        <w:t xml:space="preserve">, em contraste com falhas aleatórias (</w:t>
      </w:r>
      <m:oMath>
        <m:r>
          <m:t>β</m:t>
        </m:r>
        <m:r>
          <m:rPr>
            <m:sty m:val="p"/>
          </m:rPr>
          <m:t>≈</m:t>
        </m:r>
        <m:r>
          <m:t>1</m:t>
        </m:r>
      </m:oMath>
      <w:r>
        <w:t xml:space="preserve">) típicas de materiais sintéticos. A correlação entre número de fraturas e tempo de exposição (R² = 0,76; p &lt; 0,01) valida a capacidade preditiva do modelo</w:t>
      </w:r>
      <w:r>
        <w:t xml:space="preserve"> </w:t>
      </w: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oMath>
      <w:r>
        <w:t xml:space="preserve"> </w:t>
      </w:r>
      <w:r>
        <w:t xml:space="preserve">na estimativa da vida útil funcional</w:t>
      </w:r>
      <w:r>
        <w:t xml:space="preserve"> </w:t>
      </w:r>
      <w:r>
        <w:t xml:space="preserve">(Brunšek et al., 2023; Datta, 2024)</w:t>
      </w:r>
      <w:r>
        <w:t xml:space="preserve">. Notavelmente,</w:t>
      </w:r>
      <w:r>
        <w:t xml:space="preserve"> </w:t>
      </w:r>
      <w:r>
        <w:rPr>
          <w:i/>
          <w:iCs/>
        </w:rPr>
        <w:t xml:space="preserve">Syagrus coronata</w:t>
      </w:r>
      <w:r>
        <w:t xml:space="preserve"> </w:t>
      </w:r>
      <w:r>
        <w:t xml:space="preserve">apresentou menor densidade inicial de fraturas (32 vs 47 em Typha aos 30d), corroborando a hipótese de que maior teor de lignina (32% vs 22%) retarda a cinética de degradação, conforme predito pela razão L/C</w:t>
      </w:r>
      <w:r>
        <w:t xml:space="preserve"> </w:t>
      </w:r>
      <w:r>
        <w:t xml:space="preserve">(Grgas et al., 2023)</w:t>
      </w:r>
      <w:r>
        <w:t xml:space="preserve">.</w:t>
      </w:r>
    </w:p>
    <w:p>
      <w:pPr>
        <w:pStyle w:val="Corpodetexto"/>
      </w:pPr>
      <w:r>
        <w:t xml:space="preserve">Embora a análise microestrutural demostre progressão de danos em todas as condições testadas, esses resultados fundamentam vantagens estratégicas críticas de fibras lignocelulósicas em aplicações geotécnicas temporárias. A previsibilidade estatística da degradação (R² = 0,76; p &lt; 0,01) permite engenharia de ciclo de vida controlado, onde geotêxteis cumprem função estrutural durante o período crítico de estabelecimento vegetativo (90–150 dias) e subsequentemente se biodegradando sem deixar resíduos poliméricos persistentes, eliminando custos de remoção e mitigando impactos ambientais de longo prazo</w:t>
      </w:r>
      <w:r>
        <w:t xml:space="preserve"> </w:t>
      </w:r>
      <w:r>
        <w:t xml:space="preserve">(Prambauer et al., 2019)</w:t>
      </w:r>
      <w:r>
        <w:t xml:space="preserve">.</w:t>
      </w:r>
    </w:p>
    <w:p>
      <w:pPr>
        <w:pStyle w:val="Corpodetexto"/>
      </w:pPr>
      <w:r>
        <w:t xml:space="preserve">Em contraste com geossintéticos convencionais que apresentam persistência ambiental de 50–200 anos com liberação de microplásticos, fibras de</w:t>
      </w:r>
      <w:r>
        <w:t xml:space="preserve"> </w:t>
      </w:r>
      <w:r>
        <w:rPr>
          <w:i/>
          <w:iCs/>
        </w:rPr>
        <w:t xml:space="preserve">Syagrus</w:t>
      </w:r>
      <w:r>
        <w:t xml:space="preserve"> </w:t>
      </w:r>
      <w:r>
        <w:t xml:space="preserve">e</w:t>
      </w:r>
      <w:r>
        <w:t xml:space="preserve"> </w:t>
      </w:r>
      <w:r>
        <w:rPr>
          <w:i/>
          <w:iCs/>
        </w:rPr>
        <w:t xml:space="preserve">Typha</w:t>
      </w:r>
      <w:r>
        <w:t xml:space="preserve"> </w:t>
      </w:r>
      <w:r>
        <w:t xml:space="preserve">alcançam mineralização completa em 24 meses sob condições de campo, com taxa de liberação de carbono orgânico dissolvido (DOC) de 2,3–4,7 mg·g⁻¹·mês⁻¹ que serve como substrato para microbiota do solo, promovendo recuperação edáfica</w:t>
      </w:r>
      <w:r>
        <w:t xml:space="preserve"> </w:t>
      </w:r>
      <w:r>
        <w:t xml:space="preserve">(Zambrano et al., 2020)</w:t>
      </w:r>
      <w:r>
        <w:t xml:space="preserve">.</w:t>
      </w:r>
    </w:p>
    <w:p>
      <w:pPr>
        <w:pStyle w:val="Corpodetexto"/>
      </w:pPr>
      <w:r>
        <w:t xml:space="preserve">O desempenho mecânico inicial de ambas as espécies (UTS = 18–24 MPa aos 30 dias, módulo de Weibull</w:t>
      </w:r>
      <w:r>
        <w:t xml:space="preserve"> </w:t>
      </w:r>
      <m:oMath>
        <m:r>
          <m:t>m</m:t>
        </m:r>
        <m:r>
          <m:rPr>
            <m:sty m:val="p"/>
          </m:rPr>
          <m:t>=</m:t>
        </m:r>
        <m:r>
          <m:t>4</m:t>
        </m:r>
        <m:r>
          <m:rPr>
            <m:sty m:val="p"/>
          </m:rPr>
          <m:t>,</m:t>
        </m:r>
        <m:r>
          <m:t>2</m:t>
        </m:r>
        <m:r>
          <m:rPr>
            <m:sty m:val="p"/>
          </m:rPr>
          <m:t>–</m:t>
        </m:r>
        <m:r>
          <m:t>5</m:t>
        </m:r>
        <m:r>
          <m:rPr>
            <m:sty m:val="p"/>
          </m:rPr>
          <m:t>,</m:t>
        </m:r>
        <m:r>
          <m:t>8</m:t>
        </m:r>
      </m:oMath>
      <w:r>
        <w:t xml:space="preserve">) excede requisitos normativos para controle de erosão em taludes de baixa a média criticidade (ASTM D6637: UTS mínimo de 12 MPa), com custo de produção 60–75% inferior a geotêxteis sintéticos equivalentes quando considerado o ciclo completo (produção + instalação + remoção + descarte)</w:t>
      </w:r>
      <w:r>
        <w:t xml:space="preserve"> </w:t>
      </w:r>
      <w:r>
        <w:t xml:space="preserve">(Methacanon et al., 2010)</w:t>
      </w:r>
      <w:r>
        <w:t xml:space="preserve">.</w:t>
      </w:r>
    </w:p>
    <w:p>
      <w:pPr>
        <w:pStyle w:val="Corpodetexto"/>
      </w:pPr>
      <w:r>
        <w:t xml:space="preserve">A janela operacional de 120–150 dias (FSL no limiar</w:t>
      </w:r>
      <w:r>
        <w:t xml:space="preserve"> </w:t>
      </w:r>
      <m:oMath>
        <m:sSub>
          <m:e>
            <m:r>
              <m:t>P</m:t>
            </m:r>
          </m:e>
          <m:sub>
            <m:r>
              <m:t>10</m:t>
            </m:r>
          </m:sub>
        </m:sSub>
      </m:oMath>
      <w:r>
        <w:t xml:space="preserve"> </w:t>
      </w:r>
      <w:r>
        <w:t xml:space="preserve">de Weibull) é suficiente para 85% das aplicações em controle de erosão, reforço de subleito temporário e estabilização de margens fluviais, onde a vegetação pioneira estabelece sistema radicular funcional em 60–90 dias, assumindo a função estabilizadora gradativamente à medida que as fibras se degradam</w:t>
      </w:r>
      <w:r>
        <w:t xml:space="preserve"> </w:t>
      </w:r>
      <w:r>
        <w:t xml:space="preserve">(Gray &amp; Sotir, 1996)</w:t>
      </w:r>
      <w:r>
        <w:t xml:space="preserve">.</w:t>
      </w:r>
    </w:p>
    <w:p>
      <w:pPr>
        <w:pStyle w:val="Corpodetexto"/>
      </w:pPr>
      <w:r>
        <w:t xml:space="preserve">A capacidade de modular a vida útil funcional através da razão lignina/celulose (L/C) constitui vantagem adicional, permitindo customização de geotêxteis para diferentes aplicações (L/C = 0,35–0,45 para VUF de 90–120 dias; L/C = 0,50–0,65 para VUF de 150–180 dias) sem necessidade de tratamentos químicos complexos, apenas pela seleção criteriosa da espécie ou fração anatômica (folhas vs. hastes vs. raízes)</w:t>
      </w:r>
      <w:r>
        <w:t xml:space="preserve"> </w:t>
      </w:r>
      <w:r>
        <w:t xml:space="preserve">(Vikman et al., 2002)</w:t>
      </w:r>
      <w:r>
        <w:t xml:space="preserve">. Esta estratégia de</w:t>
      </w:r>
      <w:r>
        <w:t xml:space="preserve"> </w:t>
      </w:r>
      <w:r>
        <w:t xml:space="preserve">“degradação programada”</w:t>
      </w:r>
      <w:r>
        <w:t xml:space="preserve"> </w:t>
      </w:r>
      <w:r>
        <w:t xml:space="preserve">representa paradigma disruptivo em engenharia geotécnica sustentável, onde o material cumpre função estrutural temporária e subsequentemente contribui para melhoria das propriedades físico-químicas do solo através da incorporação de matéria orgânica, fechando o ciclo biogeoquímico local.</w:t>
      </w:r>
    </w:p>
    <w:p>
      <w:pPr>
        <w:pStyle w:val="Corpodetexto"/>
      </w:pPr>
      <w:r>
        <w:rPr>
          <w:b/>
          <w:bCs/>
        </w:rPr>
        <w:t xml:space="preserve">Tabela 3.</w:t>
      </w:r>
      <w:r>
        <w:t xml:space="preserve"> </w:t>
      </w:r>
      <w:r>
        <w:t xml:space="preserve">Análise morfométrica quantitativa por MEV de fibras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t xml:space="preserve">submetidas a diferentes condições de tratamento e períodos de exposição: correlação com parâmetros de Weibull e vida útil funcional.</w:t>
      </w:r>
    </w:p>
    <w:tbl>
      <w:tblPr>
        <w:tblStyle w:val="Table"/>
        <w:tblW w:type="pct" w:w="5000"/>
        <w:tblLayout w:type="fixed"/>
        <w:tblLook w:firstRow="1" w:lastRow="0" w:firstColumn="0" w:lastColumn="0" w:noHBand="0" w:noVBand="0" w:val="0020"/>
      </w:tblPr>
      <w:tblGrid>
        <w:gridCol w:w="1331"/>
        <w:gridCol w:w="770"/>
        <w:gridCol w:w="806"/>
        <w:gridCol w:w="770"/>
        <w:gridCol w:w="806"/>
        <w:gridCol w:w="841"/>
        <w:gridCol w:w="876"/>
        <w:gridCol w:w="841"/>
        <w:gridCol w:w="876"/>
      </w:tblGrid>
      <w:tr>
        <w:trPr>
          <w:tblHeader w:val="on"/>
        </w:trPr>
        <w:tc>
          <w:tcPr/>
          <w:p>
            <w:pPr>
              <w:pStyle w:val="Compact"/>
            </w:pPr>
            <w:r>
              <w:rPr>
                <w:b/>
                <w:bCs/>
              </w:rPr>
              <w:t xml:space="preserve">Parâmetro</w:t>
            </w:r>
          </w:p>
        </w:tc>
        <w:tc>
          <w:tcPr/>
          <w:p>
            <w:pPr>
              <w:pStyle w:val="Compact"/>
            </w:pPr>
            <w:r>
              <w:rPr>
                <w:b/>
                <w:bCs/>
              </w:rPr>
              <w:t xml:space="preserve">Typha ST 30d</w:t>
            </w:r>
          </w:p>
        </w:tc>
        <w:tc>
          <w:tcPr/>
          <w:p>
            <w:pPr>
              <w:pStyle w:val="Compact"/>
            </w:pPr>
            <w:r>
              <w:rPr>
                <w:b/>
                <w:bCs/>
              </w:rPr>
              <w:t xml:space="preserve">Typha ST 180d</w:t>
            </w:r>
          </w:p>
        </w:tc>
        <w:tc>
          <w:tcPr/>
          <w:p>
            <w:pPr>
              <w:pStyle w:val="Compact"/>
            </w:pPr>
            <w:r>
              <w:rPr>
                <w:b/>
                <w:bCs/>
              </w:rPr>
              <w:t xml:space="preserve">Typha DC 30d</w:t>
            </w:r>
          </w:p>
        </w:tc>
        <w:tc>
          <w:tcPr/>
          <w:p>
            <w:pPr>
              <w:pStyle w:val="Compact"/>
            </w:pPr>
            <w:r>
              <w:rPr>
                <w:b/>
                <w:bCs/>
              </w:rPr>
              <w:t xml:space="preserve">Typha DC 180d</w:t>
            </w:r>
          </w:p>
        </w:tc>
        <w:tc>
          <w:tcPr/>
          <w:p>
            <w:pPr>
              <w:pStyle w:val="Compact"/>
            </w:pPr>
            <w:r>
              <w:rPr>
                <w:b/>
                <w:bCs/>
              </w:rPr>
              <w:t xml:space="preserve">Syagrus ST 30d</w:t>
            </w:r>
          </w:p>
        </w:tc>
        <w:tc>
          <w:tcPr/>
          <w:p>
            <w:pPr>
              <w:pStyle w:val="Compact"/>
            </w:pPr>
            <w:r>
              <w:rPr>
                <w:b/>
                <w:bCs/>
              </w:rPr>
              <w:t xml:space="preserve">Syagrus ST 180d</w:t>
            </w:r>
          </w:p>
        </w:tc>
        <w:tc>
          <w:tcPr/>
          <w:p>
            <w:pPr>
              <w:pStyle w:val="Compact"/>
            </w:pPr>
            <w:r>
              <w:rPr>
                <w:b/>
                <w:bCs/>
              </w:rPr>
              <w:t xml:space="preserve">Syagrus DC 30d</w:t>
            </w:r>
          </w:p>
        </w:tc>
        <w:tc>
          <w:tcPr/>
          <w:p>
            <w:pPr>
              <w:pStyle w:val="Compact"/>
            </w:pPr>
            <w:r>
              <w:rPr>
                <w:b/>
                <w:bCs/>
              </w:rPr>
              <w:t xml:space="preserve">Syagrus DC 180d</w:t>
            </w:r>
          </w:p>
        </w:tc>
      </w:tr>
      <w:tr>
        <w:tc>
          <w:tcPr/>
          <w:p>
            <w:pPr>
              <w:pStyle w:val="Compact"/>
            </w:pPr>
            <w:r>
              <w:rPr>
                <w:b/>
                <w:bCs/>
              </w:rPr>
              <w:t xml:space="preserve">Morfologia Superficial</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Porosidade total (%)</w:t>
            </w:r>
          </w:p>
        </w:tc>
        <w:tc>
          <w:tcPr/>
          <w:p>
            <w:pPr>
              <w:pStyle w:val="Compact"/>
            </w:pPr>
            <w:r>
              <w:t xml:space="preserve">75,45</w:t>
            </w:r>
          </w:p>
        </w:tc>
        <w:tc>
          <w:tcPr/>
          <w:p>
            <w:pPr>
              <w:pStyle w:val="Compact"/>
            </w:pPr>
            <w:r>
              <w:t xml:space="preserve">35,17</w:t>
            </w:r>
          </w:p>
        </w:tc>
        <w:tc>
          <w:tcPr/>
          <w:p>
            <w:pPr>
              <w:pStyle w:val="Compact"/>
            </w:pPr>
            <w:r>
              <w:t xml:space="preserve">59,59</w:t>
            </w:r>
          </w:p>
        </w:tc>
        <w:tc>
          <w:tcPr/>
          <w:p>
            <w:pPr>
              <w:pStyle w:val="Compact"/>
            </w:pPr>
            <w:r>
              <w:t xml:space="preserve">68,42</w:t>
            </w:r>
          </w:p>
        </w:tc>
        <w:tc>
          <w:tcPr/>
          <w:p>
            <w:pPr>
              <w:pStyle w:val="Compact"/>
            </w:pPr>
            <w:r>
              <w:t xml:space="preserve">49,37</w:t>
            </w:r>
          </w:p>
        </w:tc>
        <w:tc>
          <w:tcPr/>
          <w:p>
            <w:pPr>
              <w:pStyle w:val="Compact"/>
            </w:pPr>
            <w:r>
              <w:t xml:space="preserve">67,17</w:t>
            </w:r>
          </w:p>
        </w:tc>
        <w:tc>
          <w:tcPr/>
          <w:p>
            <w:pPr>
              <w:pStyle w:val="Compact"/>
            </w:pPr>
            <w:r>
              <w:t xml:space="preserve">63,68</w:t>
            </w:r>
          </w:p>
        </w:tc>
        <w:tc>
          <w:tcPr/>
          <w:p>
            <w:pPr>
              <w:pStyle w:val="Compact"/>
            </w:pPr>
            <w:r>
              <w:t xml:space="preserve">32,43</w:t>
            </w:r>
          </w:p>
        </w:tc>
      </w:tr>
      <w:tr>
        <w:tc>
          <w:tcPr/>
          <w:p>
            <w:pPr>
              <w:pStyle w:val="Compact"/>
            </w:pPr>
            <w:r>
              <w:t xml:space="preserve">Número de poros</w:t>
            </w:r>
          </w:p>
        </w:tc>
        <w:tc>
          <w:tcPr/>
          <w:p>
            <w:pPr>
              <w:pStyle w:val="Compact"/>
            </w:pPr>
            <w:r>
              <w:t xml:space="preserve">47</w:t>
            </w:r>
          </w:p>
        </w:tc>
        <w:tc>
          <w:tcPr/>
          <w:p>
            <w:pPr>
              <w:pStyle w:val="Compact"/>
            </w:pPr>
            <w:r>
              <w:t xml:space="preserve">128</w:t>
            </w:r>
          </w:p>
        </w:tc>
        <w:tc>
          <w:tcPr/>
          <w:p>
            <w:pPr>
              <w:pStyle w:val="Compact"/>
            </w:pPr>
            <w:r>
              <w:t xml:space="preserve">247</w:t>
            </w:r>
          </w:p>
        </w:tc>
        <w:tc>
          <w:tcPr/>
          <w:p>
            <w:pPr>
              <w:pStyle w:val="Compact"/>
            </w:pPr>
            <w:r>
              <w:t xml:space="preserve">118</w:t>
            </w:r>
          </w:p>
        </w:tc>
        <w:tc>
          <w:tcPr/>
          <w:p>
            <w:pPr>
              <w:pStyle w:val="Compact"/>
            </w:pPr>
            <w:r>
              <w:t xml:space="preserve">302</w:t>
            </w:r>
          </w:p>
        </w:tc>
        <w:tc>
          <w:tcPr/>
          <w:p>
            <w:pPr>
              <w:pStyle w:val="Compact"/>
            </w:pPr>
            <w:r>
              <w:t xml:space="preserve">164</w:t>
            </w:r>
          </w:p>
        </w:tc>
        <w:tc>
          <w:tcPr/>
          <w:p>
            <w:pPr>
              <w:pStyle w:val="Compact"/>
            </w:pPr>
            <w:r>
              <w:t xml:space="preserve">148</w:t>
            </w:r>
          </w:p>
        </w:tc>
        <w:tc>
          <w:tcPr/>
          <w:p>
            <w:pPr>
              <w:pStyle w:val="Compact"/>
            </w:pPr>
            <w:r>
              <w:t xml:space="preserve">187</w:t>
            </w:r>
          </w:p>
        </w:tc>
      </w:tr>
      <w:tr>
        <w:tc>
          <w:tcPr/>
          <w:p>
            <w:pPr>
              <w:pStyle w:val="Compact"/>
            </w:pPr>
            <w:r>
              <w:t xml:space="preserve">Circularidade média</w:t>
            </w:r>
          </w:p>
        </w:tc>
        <w:tc>
          <w:tcPr/>
          <w:p>
            <w:pPr>
              <w:pStyle w:val="Compact"/>
            </w:pPr>
            <w:r>
              <w:t xml:space="preserve">0,38</w:t>
            </w:r>
          </w:p>
        </w:tc>
        <w:tc>
          <w:tcPr/>
          <w:p>
            <w:pPr>
              <w:pStyle w:val="Compact"/>
            </w:pPr>
            <w:r>
              <w:t xml:space="preserve">0,35</w:t>
            </w:r>
          </w:p>
        </w:tc>
        <w:tc>
          <w:tcPr/>
          <w:p>
            <w:pPr>
              <w:pStyle w:val="Compact"/>
            </w:pPr>
            <w:r>
              <w:t xml:space="preserve">0,39</w:t>
            </w:r>
          </w:p>
        </w:tc>
        <w:tc>
          <w:tcPr/>
          <w:p>
            <w:pPr>
              <w:pStyle w:val="Compact"/>
            </w:pPr>
            <w:r>
              <w:t xml:space="preserve">0,39</w:t>
            </w:r>
          </w:p>
        </w:tc>
        <w:tc>
          <w:tcPr/>
          <w:p>
            <w:pPr>
              <w:pStyle w:val="Compact"/>
            </w:pPr>
            <w:r>
              <w:t xml:space="preserve">0,30</w:t>
            </w:r>
          </w:p>
        </w:tc>
        <w:tc>
          <w:tcPr/>
          <w:p>
            <w:pPr>
              <w:pStyle w:val="Compact"/>
            </w:pPr>
            <w:r>
              <w:t xml:space="preserve">0,32</w:t>
            </w:r>
          </w:p>
        </w:tc>
        <w:tc>
          <w:tcPr/>
          <w:p>
            <w:pPr>
              <w:pStyle w:val="Compact"/>
            </w:pPr>
            <w:r>
              <w:t xml:space="preserve">0,33</w:t>
            </w:r>
          </w:p>
        </w:tc>
        <w:tc>
          <w:tcPr/>
          <w:p>
            <w:pPr>
              <w:pStyle w:val="Compact"/>
            </w:pPr>
            <w:r>
              <w:t xml:space="preserve">0,33</w:t>
            </w:r>
          </w:p>
        </w:tc>
      </w:tr>
      <w:tr>
        <w:tc>
          <w:tcPr/>
          <w:p>
            <w:pPr>
              <w:pStyle w:val="Compact"/>
            </w:pPr>
            <w:r>
              <w:t xml:space="preserve">Rugosidade superficial</w:t>
            </w:r>
          </w:p>
        </w:tc>
        <w:tc>
          <w:tcPr/>
          <w:p>
            <w:pPr>
              <w:pStyle w:val="Compact"/>
            </w:pPr>
            <w:r>
              <w:t xml:space="preserve">461,75</w:t>
            </w:r>
          </w:p>
        </w:tc>
        <w:tc>
          <w:tcPr/>
          <w:p>
            <w:pPr>
              <w:pStyle w:val="Compact"/>
            </w:pPr>
            <w:r>
              <w:t xml:space="preserve">407,08</w:t>
            </w:r>
          </w:p>
        </w:tc>
        <w:tc>
          <w:tcPr/>
          <w:p>
            <w:pPr>
              <w:pStyle w:val="Compact"/>
            </w:pPr>
            <w:r>
              <w:t xml:space="preserve">1123,25</w:t>
            </w:r>
          </w:p>
        </w:tc>
        <w:tc>
          <w:tcPr/>
          <w:p>
            <w:pPr>
              <w:pStyle w:val="Compact"/>
            </w:pPr>
            <w:r>
              <w:t xml:space="preserve">950,33</w:t>
            </w:r>
          </w:p>
        </w:tc>
        <w:tc>
          <w:tcPr/>
          <w:p>
            <w:pPr>
              <w:pStyle w:val="Compact"/>
            </w:pPr>
            <w:r>
              <w:t xml:space="preserve">585,60</w:t>
            </w:r>
          </w:p>
        </w:tc>
        <w:tc>
          <w:tcPr/>
          <w:p>
            <w:pPr>
              <w:pStyle w:val="Compact"/>
            </w:pPr>
            <w:r>
              <w:t xml:space="preserve">769,52</w:t>
            </w:r>
          </w:p>
        </w:tc>
        <w:tc>
          <w:tcPr/>
          <w:p>
            <w:pPr>
              <w:pStyle w:val="Compact"/>
            </w:pPr>
            <w:r>
              <w:t xml:space="preserve">711,51</w:t>
            </w:r>
          </w:p>
        </w:tc>
        <w:tc>
          <w:tcPr/>
          <w:p>
            <w:pPr>
              <w:pStyle w:val="Compact"/>
            </w:pPr>
            <w:r>
              <w:t xml:space="preserve">684,24</w:t>
            </w:r>
          </w:p>
        </w:tc>
      </w:tr>
      <w:tr>
        <w:tc>
          <w:tcPr/>
          <w:p>
            <w:pPr>
              <w:pStyle w:val="Compact"/>
            </w:pPr>
            <w:r>
              <w:rPr>
                <w:b/>
                <w:bCs/>
              </w:rPr>
              <w:t xml:space="preserve">Organização Fibrilar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Índice de orientação</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r>
      <w:tr>
        <w:tc>
          <w:tcPr/>
          <w:p>
            <w:pPr>
              <w:pStyle w:val="Compact"/>
            </w:pPr>
            <w:r>
              <w:t xml:space="preserve">Densidade fibrilar (%)</w:t>
            </w:r>
          </w:p>
        </w:tc>
        <w:tc>
          <w:tcPr/>
          <w:p>
            <w:pPr>
              <w:pStyle w:val="Compact"/>
            </w:pPr>
            <w:r>
              <w:t xml:space="preserve">34,80</w:t>
            </w:r>
          </w:p>
        </w:tc>
        <w:tc>
          <w:tcPr/>
          <w:p>
            <w:pPr>
              <w:pStyle w:val="Compact"/>
            </w:pPr>
            <w:r>
              <w:t xml:space="preserve">28,86</w:t>
            </w:r>
          </w:p>
        </w:tc>
        <w:tc>
          <w:tcPr/>
          <w:p>
            <w:pPr>
              <w:pStyle w:val="Compact"/>
            </w:pPr>
            <w:r>
              <w:t xml:space="preserve">28,75</w:t>
            </w:r>
          </w:p>
        </w:tc>
        <w:tc>
          <w:tcPr/>
          <w:p>
            <w:pPr>
              <w:pStyle w:val="Compact"/>
            </w:pPr>
            <w:r>
              <w:t xml:space="preserve">32,71</w:t>
            </w:r>
          </w:p>
        </w:tc>
        <w:tc>
          <w:tcPr/>
          <w:p>
            <w:pPr>
              <w:pStyle w:val="Compact"/>
            </w:pPr>
            <w:r>
              <w:t xml:space="preserve">33,92</w:t>
            </w:r>
          </w:p>
        </w:tc>
        <w:tc>
          <w:tcPr/>
          <w:p>
            <w:pPr>
              <w:pStyle w:val="Compact"/>
            </w:pPr>
            <w:r>
              <w:t xml:space="preserve">29,46</w:t>
            </w:r>
          </w:p>
        </w:tc>
        <w:tc>
          <w:tcPr/>
          <w:p>
            <w:pPr>
              <w:pStyle w:val="Compact"/>
            </w:pPr>
            <w:r>
              <w:t xml:space="preserve">36,10</w:t>
            </w:r>
          </w:p>
        </w:tc>
        <w:tc>
          <w:tcPr/>
          <w:p>
            <w:pPr>
              <w:pStyle w:val="Compact"/>
            </w:pPr>
            <w:r>
              <w:t xml:space="preserve">35,01</w:t>
            </w:r>
          </w:p>
        </w:tc>
      </w:tr>
      <w:tr>
        <w:tc>
          <w:tcPr/>
          <w:p>
            <w:pPr>
              <w:pStyle w:val="Compact"/>
            </w:pPr>
            <w:r>
              <w:rPr>
                <w:b/>
                <w:bCs/>
              </w:rPr>
              <w:t xml:space="preserve">Textura Superficial (GLCM)</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Contraste</w:t>
            </w:r>
          </w:p>
        </w:tc>
        <w:tc>
          <w:tcPr/>
          <w:p>
            <w:pPr>
              <w:pStyle w:val="Compact"/>
            </w:pPr>
            <w:r>
              <w:t xml:space="preserve">35,18</w:t>
            </w:r>
          </w:p>
        </w:tc>
        <w:tc>
          <w:tcPr/>
          <w:p>
            <w:pPr>
              <w:pStyle w:val="Compact"/>
            </w:pPr>
            <w:r>
              <w:t xml:space="preserve">23,30</w:t>
            </w:r>
          </w:p>
        </w:tc>
        <w:tc>
          <w:tcPr/>
          <w:p>
            <w:pPr>
              <w:pStyle w:val="Compact"/>
            </w:pPr>
            <w:r>
              <w:t xml:space="preserve">51,78</w:t>
            </w:r>
          </w:p>
        </w:tc>
        <w:tc>
          <w:tcPr/>
          <w:p>
            <w:pPr>
              <w:pStyle w:val="Compact"/>
            </w:pPr>
            <w:r>
              <w:t xml:space="preserve">68,49</w:t>
            </w:r>
          </w:p>
        </w:tc>
        <w:tc>
          <w:tcPr/>
          <w:p>
            <w:pPr>
              <w:pStyle w:val="Compact"/>
            </w:pPr>
            <w:r>
              <w:t xml:space="preserve">44,78</w:t>
            </w:r>
          </w:p>
        </w:tc>
        <w:tc>
          <w:tcPr/>
          <w:p>
            <w:pPr>
              <w:pStyle w:val="Compact"/>
            </w:pPr>
            <w:r>
              <w:t xml:space="preserve">44,88</w:t>
            </w:r>
          </w:p>
        </w:tc>
        <w:tc>
          <w:tcPr/>
          <w:p>
            <w:pPr>
              <w:pStyle w:val="Compact"/>
            </w:pPr>
            <w:r>
              <w:t xml:space="preserve">56,73</w:t>
            </w:r>
          </w:p>
        </w:tc>
        <w:tc>
          <w:tcPr/>
          <w:p>
            <w:pPr>
              <w:pStyle w:val="Compact"/>
            </w:pPr>
            <w:r>
              <w:t xml:space="preserve">55,18</w:t>
            </w:r>
          </w:p>
        </w:tc>
      </w:tr>
      <w:tr>
        <w:tc>
          <w:tcPr/>
          <w:p>
            <w:pPr>
              <w:pStyle w:val="Compact"/>
            </w:pPr>
            <w:r>
              <w:t xml:space="preserve">Homogeneidade</w:t>
            </w:r>
          </w:p>
        </w:tc>
        <w:tc>
          <w:tcPr/>
          <w:p>
            <w:pPr>
              <w:pStyle w:val="Compact"/>
            </w:pPr>
            <w:r>
              <w:t xml:space="preserve">0,22</w:t>
            </w:r>
          </w:p>
        </w:tc>
        <w:tc>
          <w:tcPr/>
          <w:p>
            <w:pPr>
              <w:pStyle w:val="Compact"/>
            </w:pPr>
            <w:r>
              <w:t xml:space="preserve">0,23</w:t>
            </w:r>
          </w:p>
        </w:tc>
        <w:tc>
          <w:tcPr/>
          <w:p>
            <w:pPr>
              <w:pStyle w:val="Compact"/>
            </w:pPr>
            <w:r>
              <w:t xml:space="preserve">0,21</w:t>
            </w:r>
          </w:p>
        </w:tc>
        <w:tc>
          <w:tcPr/>
          <w:p>
            <w:pPr>
              <w:pStyle w:val="Compact"/>
            </w:pPr>
            <w:r>
              <w:t xml:space="preserve">0,21</w:t>
            </w:r>
          </w:p>
        </w:tc>
        <w:tc>
          <w:tcPr/>
          <w:p>
            <w:pPr>
              <w:pStyle w:val="Compact"/>
            </w:pPr>
            <w:r>
              <w:t xml:space="preserve">0,22</w:t>
            </w:r>
          </w:p>
        </w:tc>
        <w:tc>
          <w:tcPr/>
          <w:p>
            <w:pPr>
              <w:pStyle w:val="Compact"/>
            </w:pPr>
            <w:r>
              <w:t xml:space="preserve">0,22</w:t>
            </w:r>
          </w:p>
        </w:tc>
        <w:tc>
          <w:tcPr/>
          <w:p>
            <w:pPr>
              <w:pStyle w:val="Compact"/>
            </w:pPr>
            <w:r>
              <w:t xml:space="preserve">0,21</w:t>
            </w:r>
          </w:p>
        </w:tc>
        <w:tc>
          <w:tcPr/>
          <w:p>
            <w:pPr>
              <w:pStyle w:val="Compact"/>
            </w:pPr>
            <w:r>
              <w:t xml:space="preserve">0,21</w:t>
            </w:r>
          </w:p>
        </w:tc>
      </w:tr>
      <w:tr>
        <w:tc>
          <w:tcPr/>
          <w:p>
            <w:pPr>
              <w:pStyle w:val="Compact"/>
            </w:pPr>
            <w:r>
              <w:rPr>
                <w:b/>
                <w:bCs/>
              </w:rPr>
              <w:t xml:space="preserve">Análise de Fraturas e Danos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Número de fraturas</w:t>
            </w:r>
          </w:p>
        </w:tc>
        <w:tc>
          <w:tcPr/>
          <w:p>
            <w:pPr>
              <w:pStyle w:val="Compact"/>
            </w:pPr>
            <w:r>
              <w:t xml:space="preserve">47</w:t>
            </w:r>
          </w:p>
        </w:tc>
        <w:tc>
          <w:tcPr/>
          <w:p>
            <w:pPr>
              <w:pStyle w:val="Compact"/>
            </w:pPr>
            <w:r>
              <w:t xml:space="preserve">128</w:t>
            </w:r>
          </w:p>
        </w:tc>
        <w:tc>
          <w:tcPr/>
          <w:p>
            <w:pPr>
              <w:pStyle w:val="Compact"/>
            </w:pPr>
            <w:r>
              <w:t xml:space="preserve">247</w:t>
            </w:r>
          </w:p>
        </w:tc>
        <w:tc>
          <w:tcPr/>
          <w:p>
            <w:pPr>
              <w:pStyle w:val="Compact"/>
            </w:pPr>
            <w:r>
              <w:t xml:space="preserve">155</w:t>
            </w:r>
          </w:p>
        </w:tc>
        <w:tc>
          <w:tcPr/>
          <w:p>
            <w:pPr>
              <w:pStyle w:val="Compact"/>
            </w:pPr>
            <w:r>
              <w:t xml:space="preserve">32</w:t>
            </w:r>
          </w:p>
        </w:tc>
        <w:tc>
          <w:tcPr/>
          <w:p>
            <w:pPr>
              <w:pStyle w:val="Compact"/>
            </w:pPr>
            <w:r>
              <w:t xml:space="preserve">164</w:t>
            </w:r>
          </w:p>
        </w:tc>
        <w:tc>
          <w:tcPr/>
          <w:p>
            <w:pPr>
              <w:pStyle w:val="Compact"/>
            </w:pPr>
            <w:r>
              <w:t xml:space="preserve">148</w:t>
            </w:r>
          </w:p>
        </w:tc>
        <w:tc>
          <w:tcPr/>
          <w:p>
            <w:pPr>
              <w:pStyle w:val="Compact"/>
            </w:pPr>
            <w:r>
              <w:t xml:space="preserve">187</w:t>
            </w:r>
          </w:p>
        </w:tc>
      </w:tr>
      <w:tr>
        <w:tc>
          <w:tcPr/>
          <w:p>
            <w:pPr>
              <w:pStyle w:val="Compact"/>
            </w:pPr>
            <w:r>
              <w:t xml:space="preserve">Comprimento total (px)</w:t>
            </w:r>
          </w:p>
        </w:tc>
        <w:tc>
          <w:tcPr/>
          <w:p>
            <w:pPr>
              <w:pStyle w:val="Compact"/>
            </w:pPr>
            <w:r>
              <w:t xml:space="preserve">14.932</w:t>
            </w:r>
          </w:p>
        </w:tc>
        <w:tc>
          <w:tcPr/>
          <w:p>
            <w:pPr>
              <w:pStyle w:val="Compact"/>
            </w:pPr>
            <w:r>
              <w:t xml:space="preserve">28.475</w:t>
            </w:r>
          </w:p>
        </w:tc>
        <w:tc>
          <w:tcPr/>
          <w:p>
            <w:pPr>
              <w:pStyle w:val="Compact"/>
            </w:pPr>
            <w:r>
              <w:t xml:space="preserve">43.658</w:t>
            </w:r>
          </w:p>
        </w:tc>
        <w:tc>
          <w:tcPr/>
          <w:p>
            <w:pPr>
              <w:pStyle w:val="Compact"/>
            </w:pPr>
            <w:r>
              <w:t xml:space="preserve">25.834</w:t>
            </w:r>
          </w:p>
        </w:tc>
        <w:tc>
          <w:tcPr/>
          <w:p>
            <w:pPr>
              <w:pStyle w:val="Compact"/>
            </w:pPr>
            <w:r>
              <w:t xml:space="preserve">5.676</w:t>
            </w:r>
          </w:p>
        </w:tc>
        <w:tc>
          <w:tcPr/>
          <w:p>
            <w:pPr>
              <w:pStyle w:val="Compact"/>
            </w:pPr>
            <w:r>
              <w:t xml:space="preserve">40.046</w:t>
            </w:r>
          </w:p>
        </w:tc>
        <w:tc>
          <w:tcPr/>
          <w:p>
            <w:pPr>
              <w:pStyle w:val="Compact"/>
            </w:pPr>
            <w:r>
              <w:t xml:space="preserve">26.192</w:t>
            </w:r>
          </w:p>
        </w:tc>
        <w:tc>
          <w:tcPr/>
          <w:p>
            <w:pPr>
              <w:pStyle w:val="Compact"/>
            </w:pPr>
            <w:r>
              <w:t xml:space="preserve">32.451</w:t>
            </w:r>
          </w:p>
        </w:tc>
      </w:tr>
      <w:tr>
        <w:tc>
          <w:tcPr/>
          <w:p>
            <w:pPr>
              <w:pStyle w:val="Compact"/>
            </w:pPr>
            <w:r>
              <w:t xml:space="preserve">Severidade de dano (%)</w:t>
            </w:r>
          </w:p>
        </w:tc>
        <w:tc>
          <w:tcPr/>
          <w:p>
            <w:pPr>
              <w:pStyle w:val="Compact"/>
            </w:pPr>
            <w:r>
              <w:t xml:space="preserve">104,22</w:t>
            </w:r>
          </w:p>
        </w:tc>
        <w:tc>
          <w:tcPr/>
          <w:p>
            <w:pPr>
              <w:pStyle w:val="Compact"/>
            </w:pPr>
            <w:r>
              <w:t xml:space="preserve">124,70</w:t>
            </w:r>
          </w:p>
        </w:tc>
        <w:tc>
          <w:tcPr/>
          <w:p>
            <w:pPr>
              <w:pStyle w:val="Compact"/>
            </w:pPr>
            <w:r>
              <w:t xml:space="preserve">121,15</w:t>
            </w:r>
          </w:p>
        </w:tc>
        <w:tc>
          <w:tcPr/>
          <w:p>
            <w:pPr>
              <w:pStyle w:val="Compact"/>
            </w:pPr>
            <w:r>
              <w:t xml:space="preserve">106,06</w:t>
            </w:r>
          </w:p>
        </w:tc>
        <w:tc>
          <w:tcPr/>
          <w:p>
            <w:pPr>
              <w:pStyle w:val="Compact"/>
            </w:pPr>
            <w:r>
              <w:t xml:space="preserve">102,59</w:t>
            </w:r>
          </w:p>
        </w:tc>
        <w:tc>
          <w:tcPr/>
          <w:p>
            <w:pPr>
              <w:pStyle w:val="Compact"/>
            </w:pPr>
            <w:r>
              <w:t xml:space="preserve">134,74</w:t>
            </w:r>
          </w:p>
        </w:tc>
        <w:tc>
          <w:tcPr/>
          <w:p>
            <w:pPr>
              <w:pStyle w:val="Compact"/>
            </w:pPr>
            <w:r>
              <w:t xml:space="preserve">104,12</w:t>
            </w:r>
          </w:p>
        </w:tc>
        <w:tc>
          <w:tcPr/>
          <w:p>
            <w:pPr>
              <w:pStyle w:val="Compact"/>
            </w:pPr>
            <w:r>
              <w:t xml:space="preserve">111,75</w:t>
            </w:r>
          </w:p>
        </w:tc>
      </w:tr>
      <w:tr>
        <w:tc>
          <w:tcPr/>
          <w:p>
            <w:pPr>
              <w:pStyle w:val="Compact"/>
            </w:pPr>
            <w:r>
              <w:t xml:space="preserve">Classe de severidade</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r>
      <w:tr>
        <w:tc>
          <w:tcPr/>
          <w:p>
            <w:pPr>
              <w:pStyle w:val="Compact"/>
            </w:pPr>
            <w:r>
              <w:rPr>
                <w:b/>
                <w:bCs/>
              </w:rPr>
              <w:t xml:space="preserve">Correlação com Weibull</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m:oMath>
              <m:sSub>
                <m:e>
                  <m:r>
                    <m:t>P</m:t>
                  </m:r>
                </m:e>
                <m:sub>
                  <m:r>
                    <m:t>10</m:t>
                  </m:r>
                </m:sub>
              </m:sSub>
            </m:oMath>
            <w:r>
              <w:t xml:space="preserve"> </w:t>
            </w:r>
            <w:r>
              <w:t xml:space="preserve">estimado (dias)</w:t>
            </w:r>
          </w:p>
        </w:tc>
        <w:tc>
          <w:tcPr/>
          <w:p>
            <w:pPr>
              <w:pStyle w:val="Compact"/>
            </w:pPr>
            <w:r>
              <w:t xml:space="preserve">42</w:t>
            </w:r>
          </w:p>
        </w:tc>
        <w:tc>
          <w:tcPr/>
          <w:p>
            <w:pPr>
              <w:pStyle w:val="Compact"/>
            </w:pPr>
            <w:r>
              <w:t xml:space="preserve">&lt;42</w:t>
            </w:r>
          </w:p>
        </w:tc>
        <w:tc>
          <w:tcPr/>
          <w:p>
            <w:pPr>
              <w:pStyle w:val="Compact"/>
            </w:pPr>
            <w:r>
              <w:t xml:space="preserve">&lt;42</w:t>
            </w:r>
          </w:p>
        </w:tc>
        <w:tc>
          <w:tcPr/>
          <w:p>
            <w:pPr>
              <w:pStyle w:val="Compact"/>
            </w:pPr>
            <w:r>
              <w:t xml:space="preserve">&lt;42</w:t>
            </w:r>
          </w:p>
        </w:tc>
        <w:tc>
          <w:tcPr/>
          <w:p>
            <w:pPr>
              <w:pStyle w:val="Compact"/>
            </w:pPr>
            <w:r>
              <w:t xml:space="preserve">55</w:t>
            </w:r>
          </w:p>
        </w:tc>
        <w:tc>
          <w:tcPr/>
          <w:p>
            <w:pPr>
              <w:pStyle w:val="Compact"/>
            </w:pPr>
            <w:r>
              <w:t xml:space="preserve">&lt;42</w:t>
            </w:r>
          </w:p>
        </w:tc>
        <w:tc>
          <w:tcPr/>
          <w:p>
            <w:pPr>
              <w:pStyle w:val="Compact"/>
            </w:pPr>
            <w:r>
              <w:t xml:space="preserve">&lt;42</w:t>
            </w:r>
          </w:p>
        </w:tc>
        <w:tc>
          <w:tcPr/>
          <w:p>
            <w:pPr>
              <w:pStyle w:val="Compact"/>
            </w:pPr>
            <w:r>
              <w:t xml:space="preserve">&lt;42</w:t>
            </w:r>
          </w:p>
        </w:tc>
      </w:tr>
      <w:tr>
        <w:tc>
          <w:tcPr/>
          <w:p>
            <w:pPr>
              <w:pStyle w:val="Compact"/>
            </w:pPr>
            <w:r>
              <w:t xml:space="preserve">Regime de falha (</w:t>
            </w:r>
            <m:oMath>
              <m:r>
                <m:t>β</m:t>
              </m:r>
            </m:oMath>
            <w:r>
              <w:t xml:space="preserve">)</w:t>
            </w:r>
          </w:p>
        </w:tc>
        <w:tc>
          <w:tcPr/>
          <w:p>
            <w:pPr>
              <w:pStyle w:val="Compact"/>
            </w:pPr>
            <w:r>
              <w:t xml:space="preserve">2,3</w:t>
            </w:r>
          </w:p>
        </w:tc>
        <w:tc>
          <w:tcPr/>
          <w:p>
            <w:pPr>
              <w:pStyle w:val="Compact"/>
            </w:pPr>
            <w:r>
              <w:t xml:space="preserve">3,1</w:t>
            </w:r>
          </w:p>
        </w:tc>
        <w:tc>
          <w:tcPr/>
          <w:p>
            <w:pPr>
              <w:pStyle w:val="Compact"/>
            </w:pPr>
            <w:r>
              <w:t xml:space="preserve">3,5</w:t>
            </w:r>
          </w:p>
        </w:tc>
        <w:tc>
          <w:tcPr/>
          <w:p>
            <w:pPr>
              <w:pStyle w:val="Compact"/>
            </w:pPr>
            <w:r>
              <w:t xml:space="preserve">2,8</w:t>
            </w:r>
          </w:p>
        </w:tc>
        <w:tc>
          <w:tcPr/>
          <w:p>
            <w:pPr>
              <w:pStyle w:val="Compact"/>
            </w:pPr>
            <w:r>
              <w:t xml:space="preserve">2,1</w:t>
            </w:r>
          </w:p>
        </w:tc>
        <w:tc>
          <w:tcPr/>
          <w:p>
            <w:pPr>
              <w:pStyle w:val="Compact"/>
            </w:pPr>
            <w:r>
              <w:t xml:space="preserve">3,8</w:t>
            </w:r>
          </w:p>
        </w:tc>
        <w:tc>
          <w:tcPr/>
          <w:p>
            <w:pPr>
              <w:pStyle w:val="Compact"/>
            </w:pPr>
            <w:r>
              <w:t xml:space="preserve">3,2</w:t>
            </w:r>
          </w:p>
        </w:tc>
        <w:tc>
          <w:tcPr/>
          <w:p>
            <w:pPr>
              <w:pStyle w:val="Compact"/>
            </w:pPr>
            <w:r>
              <w:t xml:space="preserve">3,0</w:t>
            </w:r>
          </w:p>
        </w:tc>
      </w:tr>
    </w:tbl>
    <w:p>
      <w:pPr>
        <w:pStyle w:val="Corpodetexto"/>
      </w:pPr>
      <w:r>
        <w:rPr>
          <w:b/>
          <w:bCs/>
        </w:rPr>
        <w:t xml:space="preserve">Legenda:</w:t>
      </w:r>
      <w:r>
        <w:t xml:space="preserve"> </w:t>
      </w:r>
      <w:r>
        <w:t xml:space="preserve">ST = Sem Tratamento; DC = Dupla Camada de resina; 30d/180d = período de exposição em dias. Dados obtidos por microscopia eletrônica de varredura (MEV, 15 keV) e análise de imagem quantitativa com skeletonização. Classe de severidade baseada em: Leve (&lt;0,5%), Moderado (0,5-2%), Severo (2-5%), Crítico (&gt;5%).</w:t>
      </w:r>
      <w:r>
        <w:t xml:space="preserve"> </w:t>
      </w:r>
      <m:oMath>
        <m:sSub>
          <m:e>
            <m:r>
              <m:t>P</m:t>
            </m:r>
          </m:e>
          <m:sub>
            <m:r>
              <m:t>10</m:t>
            </m:r>
          </m:sub>
        </m:sSub>
      </m:oMath>
      <w:r>
        <w:t xml:space="preserve"> </w:t>
      </w:r>
      <w:r>
        <w:t xml:space="preserve">= percentil 10 da distribuição de Weibull (vida útil funcional com 90% de confiabilidade).</w:t>
      </w:r>
      <w:r>
        <w:t xml:space="preserve"> </w:t>
      </w:r>
      <m:oMath>
        <m:r>
          <m:t>β</m:t>
        </m:r>
      </m:oMath>
      <w:r>
        <w:t xml:space="preserve"> </w:t>
      </w:r>
      <w:r>
        <w:t xml:space="preserve">= parâmetro de forma (desgaste progressivo quando</w:t>
      </w:r>
      <w:r>
        <w:t xml:space="preserve"> </w:t>
      </w:r>
      <m:oMath>
        <m:r>
          <m:t>β</m:t>
        </m:r>
        <m:r>
          <m:rPr>
            <m:sty m:val="p"/>
          </m:rPr>
          <m:t>&gt;</m:t>
        </m:r>
        <m:r>
          <m:t>1</m:t>
        </m:r>
      </m:oMath>
      <w:r>
        <w:t xml:space="preserve">). Limiar crítico de falha: ~100 fraturas·campo⁻¹.</w:t>
      </w:r>
    </w:p>
    <w:p>
      <w:pPr>
        <w:pStyle w:val="Corpodetexto"/>
      </w:pPr>
      <w:r>
        <w:t xml:space="preserve">Em síntese, a integração das métricas de confiabilidade de Weibull (FSL) com modelos lineares generalizados (GLM) e validação microestrutural por MEV representa um avanço na previsão da durabilidade de geotêxteis naturais, harmonizando-os com normas internacionais como a ASTM D4595 e a série ISO 10318. Essa abordagem permite estimar parâmetros de variabilidade e vida útil funcional com base em ensaios de envelhecimento acelerado e modelagem ajustada a diferentes regimes climáticos. Estudos recentes confirmam a eficácia da Weibull na quantificação de confiabilidade mecânica</w:t>
      </w:r>
      <w:r>
        <w:t xml:space="preserve"> </w:t>
      </w:r>
      <w:r>
        <w:t xml:space="preserve">(Wang et al., 2022)</w:t>
      </w:r>
      <w:r>
        <w:t xml:space="preserve"> </w:t>
      </w:r>
      <w:r>
        <w:t xml:space="preserve">e da modelagem probabilística na previsão de degradação e falha em compósitos</w:t>
      </w:r>
      <w:r>
        <w:t xml:space="preserve"> </w:t>
      </w:r>
      <w:r>
        <w:t xml:space="preserve">(Bogdanov et al., 2023)</w:t>
      </w:r>
      <w:r>
        <w:t xml:space="preserve">, consolidando um arcabouço quantitativo e reprodutível para certificação e controle de qualidade de materiais lignocelulósicos.</w:t>
      </w:r>
    </w:p>
    <w:p>
      <w:pPr>
        <w:pStyle w:val="Corpodetexto"/>
      </w:pPr>
      <w:r>
        <w:t xml:space="preserve">Por fim, podemos propor o uso de um modelo parcimonioso desenvolvido para as fibras vegetais naturais que utilize simultaneamente a degradação intrínseca e a aceleração fotoquímica por radiação UV, descrito pela equação:</w:t>
      </w:r>
    </w:p>
    <w:p>
      <w:pPr>
        <w:pStyle w:val="Corpodetexto"/>
      </w:pPr>
      <m:oMathPara>
        <m:oMathParaPr>
          <m:jc m:val="center"/>
        </m:oMathParaPr>
        <m:oMath>
          <m:r>
            <m:t>σ</m:t>
          </m:r>
          <m:r>
            <m:rPr>
              <m:sty m:val="p"/>
            </m:rPr>
            <m:t>(</m:t>
          </m:r>
          <m:r>
            <m:t>t</m:t>
          </m:r>
          <m:r>
            <m:rPr>
              <m:sty m:val="p"/>
            </m:rPr>
            <m:t>)</m:t>
          </m:r>
          <m:r>
            <m:rPr>
              <m:sty m:val="p"/>
            </m:rPr>
            <m:t>=</m:t>
          </m:r>
          <m:sSub>
            <m:e>
              <m:r>
                <m:t>σ</m:t>
              </m:r>
            </m:e>
            <m:sub>
              <m:r>
                <m:t>0</m:t>
              </m:r>
            </m:sub>
          </m:sSub>
          <m:r>
            <m:rPr>
              <m:sty m:val="p"/>
            </m:rPr>
            <m:t>⋅</m:t>
          </m:r>
          <m:r>
            <m:rPr>
              <m:sty m:val="p"/>
            </m:rPr>
            <m:t>exp</m:t>
          </m:r>
          <m:d>
            <m:dPr>
              <m:begChr m:val="["/>
              <m:sepChr m:val=""/>
              <m:endChr m:val="]"/>
              <m:grow/>
            </m:dPr>
            <m:e>
              <m:r>
                <m:rPr>
                  <m:sty m:val="p"/>
                </m:rPr>
                <m:t>−</m:t>
              </m:r>
              <m:r>
                <m:t>k</m:t>
              </m:r>
              <m:r>
                <m:rPr>
                  <m:sty m:val="p"/>
                </m:rPr>
                <m:t>⋅</m:t>
              </m:r>
              <m:r>
                <m:t>t</m:t>
              </m:r>
              <m:r>
                <m:rPr>
                  <m:sty m:val="p"/>
                </m:rPr>
                <m:t>⋅</m:t>
              </m:r>
              <m:r>
                <m:rPr>
                  <m:sty m:val="p"/>
                </m:rPr>
                <m:t>(</m:t>
              </m:r>
              <m:r>
                <m:t>1</m:t>
              </m:r>
              <m:r>
                <m:rPr>
                  <m:sty m:val="p"/>
                </m:rPr>
                <m:t>+</m:t>
              </m:r>
              <m:r>
                <m:t>0.30</m:t>
              </m:r>
              <m:r>
                <m:rPr>
                  <m:sty m:val="p"/>
                </m:rPr>
                <m:t>⋅</m:t>
              </m:r>
              <m:sSub>
                <m:e>
                  <m:r>
                    <m:rPr>
                      <m:nor/>
                      <m:sty m:val="p"/>
                    </m:rPr>
                    <m:t>UV</m:t>
                  </m:r>
                </m:e>
                <m:sub>
                  <m:r>
                    <m:rPr>
                      <m:nor/>
                      <m:sty m:val="p"/>
                    </m:rPr>
                    <m:t>índice</m:t>
                  </m:r>
                </m:sub>
              </m:sSub>
              <m:r>
                <m:rPr>
                  <m:sty m:val="p"/>
                </m:rPr>
                <m:t>)</m:t>
              </m:r>
            </m:e>
          </m:d>
        </m:oMath>
      </m:oMathPara>
    </w:p>
    <w:p>
      <w:pPr>
        <w:pStyle w:val="FirstParagraph"/>
      </w:pPr>
      <w:r>
        <w:t xml:space="preserve">em que</w:t>
      </w:r>
      <w:r>
        <w:t xml:space="preserve"> </w:t>
      </w:r>
      <m:oMath>
        <m:sSub>
          <m:e>
            <m:r>
              <m:t>σ</m:t>
            </m:r>
          </m:e>
          <m:sub>
            <m:r>
              <m:t>0</m:t>
            </m:r>
          </m:sub>
        </m:sSub>
        <m:r>
          <m:rPr>
            <m:sty m:val="p"/>
          </m:rPr>
          <m:t>=</m:t>
        </m:r>
        <m:r>
          <m:t>21.4</m:t>
        </m:r>
        <m:r>
          <m:t> </m:t>
        </m:r>
        <m:sSup>
          <m:e>
            <m:r>
              <m:rPr>
                <m:nor/>
                <m:sty m:val="p"/>
              </m:rPr>
              <m:t>N·mm</m:t>
            </m:r>
          </m:e>
          <m:sup>
            <m:r>
              <m:rPr>
                <m:sty m:val="p"/>
              </m:rPr>
              <m:t>−</m:t>
            </m:r>
            <m:r>
              <m:t>2</m:t>
            </m:r>
          </m:sup>
        </m:sSup>
      </m:oMath>
      <w:r>
        <w:t xml:space="preserve"> </w:t>
      </w:r>
      <w:r>
        <w:t xml:space="preserve">representa a resistência inicial das amostras tratadas com NaOH a 6%,</w:t>
      </w:r>
      <w:r>
        <w:t xml:space="preserve"> </w:t>
      </w:r>
      <m:oMath>
        <m:r>
          <m:t>k</m:t>
        </m:r>
        <m:r>
          <m:rPr>
            <m:sty m:val="p"/>
          </m:rPr>
          <m:t>=</m:t>
        </m:r>
        <m:r>
          <m:t>0.0073</m:t>
        </m:r>
        <m:r>
          <m:t> </m:t>
        </m:r>
        <m:sSup>
          <m:e>
            <m:r>
              <m:rPr>
                <m:nor/>
                <m:sty m:val="p"/>
              </m:rPr>
              <m:t>dia</m:t>
            </m:r>
          </m:e>
          <m:sup>
            <m:r>
              <m:rPr>
                <m:sty m:val="p"/>
              </m:rPr>
              <m:t>−</m:t>
            </m:r>
            <m:r>
              <m:t>1</m:t>
            </m:r>
          </m:sup>
        </m:sSup>
      </m:oMath>
      <w:r>
        <w:t xml:space="preserve"> </w:t>
      </w:r>
      <w:r>
        <w:t xml:space="preserve">é a taxa de degradação intrínseca e o coeficiente de correção UV (0.30) expressa a contribuição relativa da fotodegradação sobre o decaimento mecânico. A validação cruzada com dez repetições resultou em</w:t>
      </w:r>
    </w:p>
    <w:bookmarkEnd w:id="47"/>
    <w:bookmarkEnd w:id="48"/>
    <w:bookmarkStart w:id="54" w:name="diretrizes-para-pesquisa-futura"/>
    <w:p>
      <w:pPr>
        <w:pStyle w:val="Ttulo2"/>
      </w:pPr>
      <w:r>
        <w:t xml:space="preserve">5. Diretrizes para Pesquisa Futura</w:t>
      </w:r>
    </w:p>
    <w:p>
      <w:pPr>
        <w:pStyle w:val="FirstParagraph"/>
      </w:pPr>
      <w:r>
        <w:t xml:space="preserve">Apesar dos avanços na caracterização química, modelagem probabilística e análise microestrutural documentados nesta revisão, persistem lacunas críticas que limitam a capacidade de extrapolação dos resultados e a validação completa da hierarquia preditiva L/C →</w:t>
      </w:r>
      <w:r>
        <w:t xml:space="preserve"> </w:t>
      </w:r>
      <m:oMath>
        <m:r>
          <m:t>k</m:t>
        </m:r>
      </m:oMath>
      <w:r>
        <w:t xml:space="preserve"> </w:t>
      </w:r>
      <w:r>
        <w:t xml:space="preserve">→ VUF. O preenchimento dessas lacunas é essencial para a transição de protótipos experimentais para produtos comerciais certificados, demandando esforços coordenados em cinco eixos estratégicos.</w:t>
      </w:r>
    </w:p>
    <w:bookmarkStart w:id="49" w:name="X33e80499b4da17f148a4bfd116cafbb60b7675c"/>
    <w:p>
      <w:pPr>
        <w:pStyle w:val="Ttulo3"/>
      </w:pPr>
      <w:r>
        <w:t xml:space="preserve">5.1. Caracterização Composicional Quantitativa e Validação do Modelo L/C</w:t>
      </w:r>
    </w:p>
    <w:p>
      <w:pPr>
        <w:pStyle w:val="FirstParagraph"/>
      </w:pPr>
      <w:r>
        <w:t xml:space="preserve">A determinação do teor de celulose em</w:t>
      </w:r>
      <w:r>
        <w:t xml:space="preserve"> </w:t>
      </w:r>
      <w:r>
        <w:rPr>
          <w:i/>
          <w:iCs/>
        </w:rPr>
        <w:t xml:space="preserve">Syagrus coronata</w:t>
      </w:r>
      <w:r>
        <w:t xml:space="preserve"> </w:t>
      </w:r>
      <w:r>
        <w:t xml:space="preserve">por método indireto (100% − lignina − hemicelulose − extrativos) resulta em estimativa de 40% com razão L/C provisória de 0,80.</w:t>
      </w:r>
      <w:r>
        <w:t xml:space="preserve"> </w:t>
      </w:r>
      <w:r>
        <w:t xml:space="preserve">Martinelli et al.</w:t>
      </w:r>
      <w:r>
        <w:t xml:space="preserve"> </w:t>
      </w:r>
      <w:r>
        <w:t xml:space="preserve">(2024)</w:t>
      </w:r>
      <w:r>
        <w:t xml:space="preserve"> </w:t>
      </w:r>
      <w:r>
        <w:t xml:space="preserve">demonstraram que a quantificação direta por cromatografia líquida de alta eficiência (HPLC) após hidrólise ácida controlada (TAPPI T222 om-02) ou pelo método gravimétrico de Van Soest modificado</w:t>
      </w:r>
      <w:r>
        <w:t xml:space="preserve"> </w:t>
      </w:r>
      <w:r>
        <w:t xml:space="preserve">(Van Soest, 1963)</w:t>
      </w:r>
      <w:r>
        <w:t xml:space="preserve"> </w:t>
      </w:r>
      <w:r>
        <w:t xml:space="preserve">reduz erros analíticos de ±8% para ±2%, crucial para validar o posicionamento de</w:t>
      </w:r>
      <w:r>
        <w:t xml:space="preserve"> </w:t>
      </w:r>
      <w:r>
        <w:rPr>
          <w:i/>
          <w:iCs/>
        </w:rPr>
        <w:t xml:space="preserve">Syagrus</w:t>
      </w:r>
      <w:r>
        <w:t xml:space="preserve"> </w:t>
      </w:r>
      <w:r>
        <w:t xml:space="preserve">no espectro de recalcitrância entre fibras tropicais.</w:t>
      </w:r>
    </w:p>
    <w:p>
      <w:pPr>
        <w:pStyle w:val="Corpodetexto"/>
      </w:pPr>
      <w:r>
        <w:t xml:space="preserve">A discrepância observada entre a meia-vida teórica predita pelo modelo exponencial (</w:t>
      </w:r>
      <m:oMath>
        <m:sSub>
          <m:e>
            <m:r>
              <m:t>t</m:t>
            </m:r>
          </m:e>
          <m:sub>
            <m:r>
              <m:t>1</m:t>
            </m:r>
            <m:r>
              <m:rPr>
                <m:sty m:val="p"/>
              </m:rPr>
              <m:t>/</m:t>
            </m:r>
            <m:r>
              <m:t>2</m:t>
            </m:r>
          </m:sub>
        </m:sSub>
      </m:oMath>
      <w:r>
        <w:t xml:space="preserve"> </w:t>
      </w:r>
      <w:r>
        <w:t xml:space="preserve">= 85 dias para L/C = 0,80) e o colapso estrutural abrupto aos 30 dias com perda de 65% da resistência sugere que a recalcitrância não depende exclusivamente da quantidade absoluta de lignina, mas também de sua distribuição espacial na parede celular.</w:t>
      </w:r>
      <w:r>
        <w:t xml:space="preserve"> </w:t>
      </w:r>
      <w:r>
        <w:t xml:space="preserve">Grgas et al. (2023)</w:t>
      </w:r>
      <w:r>
        <w:t xml:space="preserve"> </w:t>
      </w:r>
      <w:r>
        <w:t xml:space="preserve">demonstraram que a lignina apresenta heterogeneidade tridimensional, concentrando-se na lamela média e cantos celulares, criando zonas de alta e baixa acessibilidade enzimática. Recomenda-se microscopia de fluorescência confocal com autofluorescência de lignina (λ_ex = 488 nm)</w:t>
      </w:r>
      <w:r>
        <w:t xml:space="preserve"> </w:t>
      </w:r>
      <w:r>
        <w:t xml:space="preserve">(Donaldson &amp; Radotic, 2013)</w:t>
      </w:r>
      <w:r>
        <w:t xml:space="preserve"> </w:t>
      </w:r>
      <w:r>
        <w:t xml:space="preserve">combinada com histoquímica diferencial (reagente de Wiesner para aldeídos cinâmicos) para mapear a distribuição espacial de lignina G/S e correlacionar com zonas de falha mecânica observadas por MEV.</w:t>
      </w:r>
    </w:p>
    <w:p>
      <w:pPr>
        <w:pStyle w:val="Corpodetexto"/>
      </w:pPr>
      <w:r>
        <w:t xml:space="preserve">Adicionalmente, a caracterização por espectroscopia FTIR identificou bandas diagnósticas qualitativas (1732-1735 cm⁻¹ hemicelulose; 1590-1600 cm⁻¹ lignina; 1234 cm⁻¹ siringil; 896 cm⁻¹ celulose), mas carece de quantificação absoluta por deconvolução gaussiana de picos sobrepostos com calibração interna por padrões de celulose microcristalina (Avicel PH-101), lignina kraft purificada e xilana de bétula.</w:t>
      </w:r>
      <w:r>
        <w:t xml:space="preserve"> </w:t>
      </w:r>
      <w:r>
        <w:t xml:space="preserve">S. Kumar &amp; Saha (2022)</w:t>
      </w:r>
      <w:r>
        <w:t xml:space="preserve"> </w:t>
      </w:r>
      <w:r>
        <w:t xml:space="preserve">estabeleceram que razões de absorbância normalizadas A₁₅₉₀/A₁₀₃₅ (lignina/celulose) e A₁₇₃₅/A₁₀₃₅ (hemicelulose/celulose) correlacionam-se com taxa de degradação (</w:t>
      </w:r>
      <m:oMath>
        <m:r>
          <m:t>k</m:t>
        </m:r>
      </m:oMath>
      <w:r>
        <w:t xml:space="preserve">) em compósitos naturais (R² = 0,84; p &lt; 0,01), permitindo validação cruzada da composição bioquímica e refinamento empírico do modelo</w:t>
      </w:r>
      <w:r>
        <w:t xml:space="preserve"> </w:t>
      </w:r>
      <m:oMath>
        <m:r>
          <m:t>k</m:t>
        </m:r>
        <m:r>
          <m:rPr>
            <m:sty m:val="p"/>
          </m:rPr>
          <m:t>=</m:t>
        </m:r>
        <m:r>
          <m:t>0</m:t>
        </m:r>
        <m:r>
          <m:rPr>
            <m:sty m:val="p"/>
          </m:rPr>
          <m:t>,</m:t>
        </m:r>
        <m:r>
          <m:t>032</m:t>
        </m:r>
        <m:r>
          <m:rPr>
            <m:sty m:val="p"/>
          </m:rPr>
          <m:t>⋅</m:t>
        </m:r>
        <m:sSup>
          <m:e>
            <m:r>
              <m:t>e</m:t>
            </m:r>
          </m:e>
          <m:sup>
            <m:r>
              <m:rPr>
                <m:sty m:val="p"/>
              </m:rPr>
              <m:t>−</m:t>
            </m:r>
            <m:r>
              <m:t>2</m:t>
            </m:r>
            <m:r>
              <m:rPr>
                <m:sty m:val="p"/>
              </m:rPr>
              <m:t>,</m:t>
            </m:r>
            <m:r>
              <m:t>1</m:t>
            </m:r>
            <m:r>
              <m:rPr>
                <m:sty m:val="p"/>
              </m:rPr>
              <m:t>⋅</m:t>
            </m:r>
            <m:r>
              <m:rPr>
                <m:sty m:val="p"/>
              </m:rPr>
              <m:t>(</m:t>
            </m:r>
            <m:r>
              <m:t>L</m:t>
            </m:r>
            <m:r>
              <m:rPr>
                <m:sty m:val="p"/>
              </m:rPr>
              <m:t>/</m:t>
            </m:r>
            <m:r>
              <m:t>C</m:t>
            </m:r>
            <m:r>
              <m:rPr>
                <m:sty m:val="p"/>
              </m:rPr>
              <m:t>)</m:t>
            </m:r>
          </m:sup>
        </m:sSup>
      </m:oMath>
      <w:r>
        <w:t xml:space="preserve">.</w:t>
      </w:r>
    </w:p>
    <w:bookmarkEnd w:id="49"/>
    <w:bookmarkStart w:id="50" w:name="X41dd9f4fd1c5ad00ddd921641522d33679898a8"/>
    <w:p>
      <w:pPr>
        <w:pStyle w:val="Ttulo3"/>
      </w:pPr>
      <w:r>
        <w:t xml:space="preserve">5.2. Propriedades Mecânicas Completas e Modelagem Constitutiva</w:t>
      </w:r>
    </w:p>
    <w:p>
      <w:pPr>
        <w:pStyle w:val="FirstParagraph"/>
      </w:pPr>
      <w:r>
        <w:t xml:space="preserve">Os dados de resistência à tração reportados (UTS, N·mm⁻²) derivam de ensaios com controle de deslocamento (50 mm·min⁻¹), mas carecem de curvas tensão-deformação (</w:t>
      </w:r>
      <m:oMath>
        <m:r>
          <m:t>σ</m:t>
        </m:r>
      </m:oMath>
      <w:r>
        <w:t xml:space="preserve">-</w:t>
      </w:r>
      <m:oMath>
        <m:r>
          <m:t>ϵ</m:t>
        </m:r>
      </m:oMath>
      <w:r>
        <w:t xml:space="preserve">) completas com medição contínua até ruptura.</w:t>
      </w:r>
      <w:r>
        <w:t xml:space="preserve"> </w:t>
      </w:r>
      <w:r>
        <w:t xml:space="preserve">Luqman et al. (2023)</w:t>
      </w:r>
      <w:r>
        <w:t xml:space="preserve"> </w:t>
      </w:r>
      <w:r>
        <w:t xml:space="preserve">demonstraram que propriedades derivadas como módulo elástico (</w:t>
      </w:r>
      <m:oMath>
        <m:r>
          <m:t>E</m:t>
        </m:r>
      </m:oMath>
      <w:r>
        <w:t xml:space="preserve"> </w:t>
      </w:r>
      <w:r>
        <w:t xml:space="preserve">=</w:t>
      </w:r>
      <w:r>
        <w:t xml:space="preserve"> </w:t>
      </w:r>
      <m:oMath>
        <m:r>
          <m:t>σ</m:t>
        </m:r>
        <m:r>
          <m:rPr>
            <m:sty m:val="p"/>
          </m:rPr>
          <m:t>/</m:t>
        </m:r>
        <m:r>
          <m:t>ϵ</m:t>
        </m:r>
      </m:oMath>
      <w:r>
        <w:t xml:space="preserve"> </w:t>
      </w:r>
      <w:r>
        <w:t xml:space="preserve">na região linear, GPa), rigidez secante (</w:t>
      </w:r>
      <m:oMath>
        <m:sSub>
          <m:e>
            <m:r>
              <m:t>J</m:t>
            </m:r>
          </m:e>
          <m:sub>
            <m:r>
              <m:rPr>
                <m:nor/>
                <m:sty m:val="p"/>
              </m:rPr>
              <m:t>sec</m:t>
            </m:r>
          </m:sub>
        </m:sSub>
        <m:r>
          <m:rPr>
            <m:sty m:val="p"/>
          </m:rPr>
          <m:t>=</m:t>
        </m:r>
        <m:r>
          <m:t>F</m:t>
        </m:r>
        <m:r>
          <m:rPr>
            <m:sty m:val="p"/>
          </m:rPr>
          <m:t>/</m:t>
        </m:r>
        <m:r>
          <m:rPr>
            <m:sty m:val="p"/>
          </m:rPr>
          <m:t>Δ</m:t>
        </m:r>
        <m:r>
          <m:t>L</m:t>
        </m:r>
      </m:oMath>
      <w:r>
        <w:t xml:space="preserve"> </w:t>
      </w:r>
      <w:r>
        <w:t xml:space="preserve">a 2% de deformação, kN·m⁻¹) e energia de fratura (</w:t>
      </w:r>
      <m:oMath>
        <m:sSub>
          <m:e>
            <m:r>
              <m:t>G</m:t>
            </m:r>
          </m:e>
          <m:sub>
            <m:r>
              <m:t>f</m:t>
            </m:r>
          </m:sub>
        </m:sSub>
        <m:r>
          <m:rPr>
            <m:sty m:val="p"/>
          </m:rPr>
          <m:t>=</m:t>
        </m:r>
        <m:r>
          <m:rPr>
            <m:sty m:val="p"/>
          </m:rPr>
          <m:t>∫</m:t>
        </m:r>
        <m:r>
          <m:t>σ</m:t>
        </m:r>
        <m:r>
          <m:t> </m:t>
        </m:r>
        <m:r>
          <m:t>d</m:t>
        </m:r>
        <m:r>
          <m:t>ϵ</m:t>
        </m:r>
      </m:oMath>
      <w:r>
        <w:t xml:space="preserve">, J·m⁻²) são essenciais para modelagem de elementos finitos (FEM) de sistemas geotêxtil-solo-vegetação sob carregamento multiaxial.</w:t>
      </w:r>
    </w:p>
    <w:p>
      <w:pPr>
        <w:pStyle w:val="Corpodetexto"/>
      </w:pPr>
      <w:r>
        <w:t xml:space="preserve">Datta (2024)</w:t>
      </w:r>
      <w:r>
        <w:t xml:space="preserve"> </w:t>
      </w:r>
      <w:r>
        <w:t xml:space="preserve">aplicaram FEM em geocompostos juta-polipropileno para prever resposta sob precipitação intensa (&gt;100 mm·dia⁻¹), identificando que a ausência de parâmetros de fluência (</w:t>
      </w:r>
      <m:oMath>
        <m:sSub>
          <m:e>
            <m:r>
              <m:t>ϵ</m:t>
            </m:r>
          </m:e>
          <m:sub>
            <m:r>
              <m:rPr>
                <m:nor/>
                <m:sty m:val="p"/>
              </m:rPr>
              <m:t>creep</m:t>
            </m:r>
          </m:sub>
        </m:sSub>
        <m:r>
          <m:rPr>
            <m:sty m:val="p"/>
          </m:rPr>
          <m:t>(</m:t>
        </m:r>
        <m:r>
          <m:t>t</m:t>
        </m:r>
        <m:r>
          <m:rPr>
            <m:sty m:val="p"/>
          </m:rPr>
          <m:t>,</m:t>
        </m:r>
        <m:r>
          <m:t>σ</m:t>
        </m:r>
        <m:r>
          <m:rPr>
            <m:sty m:val="p"/>
          </m:rPr>
          <m:t>)</m:t>
        </m:r>
      </m:oMath>
      <w:r>
        <w:t xml:space="preserve">) e relaxação (</w:t>
      </w:r>
      <m:oMath>
        <m:r>
          <m:t>σ</m:t>
        </m:r>
        <m:r>
          <m:rPr>
            <m:sty m:val="p"/>
          </m:rPr>
          <m:t>(</m:t>
        </m:r>
        <m:r>
          <m:t>t</m:t>
        </m:r>
        <m:r>
          <m:rPr>
            <m:sty m:val="p"/>
          </m:rPr>
          <m:t>,</m:t>
        </m:r>
        <m:sSub>
          <m:e>
            <m:r>
              <m:t>ϵ</m:t>
            </m:r>
          </m:e>
          <m:sub>
            <m:r>
              <m:t>0</m:t>
            </m:r>
          </m:sub>
        </m:sSub>
        <m:r>
          <m:rPr>
            <m:sty m:val="p"/>
          </m:rPr>
          <m:t>)</m:t>
        </m:r>
      </m:oMath>
      <w:r>
        <w:t xml:space="preserve">) impede a previsão de deformação plástica acumulada em aplicações de longo prazo (&gt;180 dias). Recomenda-se ensaios de tração com extensômetros laser de alta resolução (&lt;0,01 mm) ou vídeo-extensometria digital (DIC,</w:t>
      </w:r>
      <w:r>
        <w:t xml:space="preserve"> </w:t>
      </w:r>
      <w:r>
        <w:rPr>
          <w:i/>
          <w:iCs/>
        </w:rPr>
        <w:t xml:space="preserve">digital image correlation</w:t>
      </w:r>
      <w:r>
        <w:t xml:space="preserve">)</w:t>
      </w:r>
      <w:r>
        <w:t xml:space="preserve"> </w:t>
      </w:r>
      <w:r>
        <w:t xml:space="preserve">(Depuydt et al., 2017)</w:t>
      </w:r>
      <w:r>
        <w:t xml:space="preserve"> </w:t>
      </w:r>
      <w:r>
        <w:t xml:space="preserve">para construir superfícies constitutivas multiaxiais, complementados por ensaios de fluência sob carga sustentada (50%, 70%, 90% UTS) em câmara climática (35°C, 80% UR) por 90 dias para calibrar modelos viscoelásticos de Maxwell-Wiechert ou Burgers</w:t>
      </w:r>
      <w:r>
        <w:t xml:space="preserve"> </w:t>
      </w:r>
      <w:r>
        <w:t xml:space="preserve">(Prasad et al., 2020)</w:t>
      </w:r>
      <w:r>
        <w:t xml:space="preserve">.</w:t>
      </w:r>
    </w:p>
    <w:bookmarkEnd w:id="50"/>
    <w:bookmarkStart w:id="51" w:name="X6c5676593f7d3ba73b10d69550d26c3add79bd5"/>
    <w:p>
      <w:pPr>
        <w:pStyle w:val="Ttulo3"/>
      </w:pPr>
      <w:r>
        <w:t xml:space="preserve">5.3. Mecanismos de Falha em Tratamentos Superficiais Multicamadas</w:t>
      </w:r>
    </w:p>
    <w:p>
      <w:pPr>
        <w:pStyle w:val="FirstParagraph"/>
      </w:pPr>
      <w:r>
        <w:t xml:space="preserve">A falha prematura do revestimento bicamada de resina acrílica aos 90 dias foi atribuída qualitativamente à delaminação interfacial induzida por ciclos higrotérmicos (18–35°C, 45–85% UR), resultando em microambientes hidrofílicos propícios à colonização fúngica.</w:t>
      </w:r>
      <w:r>
        <w:t xml:space="preserve"> </w:t>
      </w:r>
      <w:r>
        <w:t xml:space="preserve">Brunšek et al. (2023)</w:t>
      </w:r>
      <w:r>
        <w:t xml:space="preserve"> </w:t>
      </w:r>
      <w:r>
        <w:t xml:space="preserve">quantificaram que barreiras de permeabilidade excessiva (&lt;10⁻¹² m²·s⁻¹) aprisionam água metabólica microbiana, catalisando hidrólise enzimática da celulose quando umidade local excede 30% em massa. Entretanto, faltam medições diretas fundamentais para validar essa hipótese mecanística.</w:t>
      </w:r>
    </w:p>
    <w:p>
      <w:pPr>
        <w:pStyle w:val="Corpodetexto"/>
      </w:pPr>
      <w:r>
        <w:t xml:space="preserve">A espessura de camada requer caracterização por microscopia confocal de fluorescência ou perfilometria interferométrica com resolução vertical &lt;50 nm para quantificar uniformidade de recobrimento e identificar zonas de acúmulo (&gt;150 µm) versus descolamento (&lt;20 µm), correlacionando variações topográficas com sítios preferenciais de colonização microbiana. A permeabilidade diferencial entre monocamada e bicamada demanda ensaios gravimétricos de transmissão de vapor d’água segundo ASTM E96</w:t>
      </w:r>
      <w:r>
        <w:t xml:space="preserve"> </w:t>
      </w:r>
      <w:r>
        <w:t xml:space="preserve">(McHugh et al., 1993)</w:t>
      </w:r>
      <w:r>
        <w:t xml:space="preserve"> </w:t>
      </w:r>
      <w:r>
        <w:t xml:space="preserve">pelo método do copo úmido, correlacionando fluxos de massa com taxa de colonização fúngica quantificada por qPCR de DNA ribossomal 18S</w:t>
      </w:r>
      <w:r>
        <w:t xml:space="preserve"> </w:t>
      </w:r>
      <w:r>
        <w:t xml:space="preserve">(Liu et al., 2012)</w:t>
      </w:r>
      <w:r>
        <w:t xml:space="preserve"> </w:t>
      </w:r>
      <w:r>
        <w:t xml:space="preserve">em amostras expostas aos 30, 60 e 90 dias, estabelecendo limiares críticos de permeabilidade que equilibram proteção hidrofóbica e respirabilidade da matriz lignocelulósica.</w:t>
      </w:r>
    </w:p>
    <w:p>
      <w:pPr>
        <w:pStyle w:val="Corpodetexto"/>
      </w:pPr>
      <w:r>
        <w:t xml:space="preserve">A energia de adesão interfacial entre resina e fibra requer testes mecânicos de</w:t>
      </w:r>
      <w:r>
        <w:t xml:space="preserve"> </w:t>
      </w:r>
      <w:r>
        <w:rPr>
          <w:i/>
          <w:iCs/>
        </w:rPr>
        <w:t xml:space="preserve">pull-off</w:t>
      </w:r>
      <w:r>
        <w:t xml:space="preserve"> </w:t>
      </w:r>
      <w:r>
        <w:t xml:space="preserve">segundo ISO 4624</w:t>
      </w:r>
      <w:r>
        <w:t xml:space="preserve"> </w:t>
      </w:r>
      <w:r>
        <w:t xml:space="preserve">(Sickfeld, 1983)</w:t>
      </w:r>
      <w:r>
        <w:t xml:space="preserve"> </w:t>
      </w:r>
      <w:r>
        <w:t xml:space="preserve">sob pressão normal ou</w:t>
      </w:r>
      <w:r>
        <w:t xml:space="preserve"> </w:t>
      </w:r>
      <w:r>
        <w:rPr>
          <w:i/>
          <w:iCs/>
        </w:rPr>
        <w:t xml:space="preserve">peel test</w:t>
      </w:r>
      <w:r>
        <w:t xml:space="preserve"> </w:t>
      </w:r>
      <w:r>
        <w:t xml:space="preserve">a 90° conforme ASTM D903</w:t>
      </w:r>
      <w:r>
        <w:t xml:space="preserve"> </w:t>
      </w:r>
      <w:r>
        <w:t xml:space="preserve">(DeVries et al., 2002)</w:t>
      </w:r>
      <w:r>
        <w:t xml:space="preserve"> </w:t>
      </w:r>
      <w:r>
        <w:t xml:space="preserve">a 50 mm·min⁻¹, comparando pré-tratamentos de mercerização (3%, 6%, 9% NaOH) que alteram rugosidade superficial (+48,2% a 6% NaOH) e consequentemente a densidade de pontos de ancoragem molecular. A distribuição espacial de umidade durante ciclos de chuva simulada pode ser mapeada por tomografia de impedância elétrica (EIT, frequência 1–100 kHz) ou espectroscopia de RMN de campo baixo (0,5 T, sequência CPMG para T₂), revelando gradientes de umidade que desencadeiam delaminação em zonas críticas da interface.</w:t>
      </w:r>
    </w:p>
    <w:p>
      <w:pPr>
        <w:pStyle w:val="Corpodetexto"/>
      </w:pPr>
      <w:r>
        <w:t xml:space="preserve">Esses dados habilitarão a otimização racional da formulação da resina Hydronorth®, incluindo ajustes de viscosidade aparente (500–2000 cP via reômetro rotacional) para controlar penetração sem saturação, incorporação de surfactantes não iônicos (Tween-80, 0,5–2% m/v) para reduzir tensão superficial de 72 para 35 mN·m⁻¹ e maximizar infiltração capilar na primeira camada sem impermeabilização subsuperficial que comprometa a respirabilidade essencial para controle de umidade interna.</w:t>
      </w:r>
    </w:p>
    <w:bookmarkEnd w:id="51"/>
    <w:bookmarkStart w:id="52" w:name="X86ccde7e8ef294bfc934ab953b155c47c9b12bb"/>
    <w:p>
      <w:pPr>
        <w:pStyle w:val="Ttulo3"/>
      </w:pPr>
      <w:r>
        <w:t xml:space="preserve">5.4. Validação em Escala Real e Monitoramento de Longo Prazo</w:t>
      </w:r>
    </w:p>
    <w:p>
      <w:pPr>
        <w:pStyle w:val="FirstParagraph"/>
      </w:pPr>
      <w:r>
        <w:t xml:space="preserve">Os resultados reportados derivam predominantemente de parcelas experimentais (5–50 m²) sob períodos de 180–360 dias, insuficientes para capturar processos hidrológicos de bacia (infiltração preferencial, recarga de aquífero) e sucessão ecológica completa (colonização → estabelecimento → clímax).</w:t>
      </w:r>
      <w:r>
        <w:t xml:space="preserve"> </w:t>
      </w:r>
      <w:r>
        <w:t xml:space="preserve">N. Kumar &amp; Das (2018)</w:t>
      </w:r>
      <w:r>
        <w:t xml:space="preserve"> </w:t>
      </w:r>
      <w:r>
        <w:t xml:space="preserve">demonstraram que geotêxteis de fibras naturais em taludes de estradas (área = 2,4 ha, declividade 35°, solo Neossolo Quartzarênico) apresentaram perda de solo 87% inferior a controles não protegidos após 24 meses, mas com variabilidade espacial não capturada por parcelas &lt;100 m².</w:t>
      </w:r>
    </w:p>
    <w:p>
      <w:pPr>
        <w:pStyle w:val="Corpodetexto"/>
      </w:pPr>
      <w:r>
        <w:t xml:space="preserve">Recomenda-se instalação de sítios experimentais em escala de sub-bacia (&gt;10 ha) com monitoramento integrado multidisciplinar. A componente hidrológica deve incluir calhas Gerlach para quantificação de escoamento superficial, piezômetros de tubo aberto para monitoramento de nível freático e pluviômetros basculantes com resolução de 0,2 mm para capturar eventos extremos (&gt;100 mm·dia⁻¹), permitindo calibração de modelos chuva-vazão específicos para sistemas com cobertura vegetal e reforço geotêxtil.</w:t>
      </w:r>
    </w:p>
    <w:p>
      <w:pPr>
        <w:pStyle w:val="Corpodetexto"/>
      </w:pPr>
      <w:r>
        <w:t xml:space="preserve">O monitoramento de erosão requer pinos georreferenciados (n = 50 por tratamento) para quantificar perda volumétrica de solo, complementados por parcelas Wischmeier padrão (22 × 4 m) em triplicata para aplicação da Equação Universal de Perda de Solo (USLE) revisada, estabelecendo fatores de cobertura (</w:t>
      </w:r>
      <m:oMath>
        <m:r>
          <m:t>C</m:t>
        </m:r>
      </m:oMath>
      <w:r>
        <w:t xml:space="preserve">) específicos para geotêxteis naturais em diferentes estágios de degradação.</w:t>
      </w:r>
    </w:p>
    <w:p>
      <w:pPr>
        <w:pStyle w:val="Corpodetexto"/>
      </w:pPr>
      <w:r>
        <w:t xml:space="preserve">O desempenho mecânico longitudinal demanda extração não destrutiva de amostras circulares (∅ 150 mm) a cada 60 dias por 36 meses, construindo curvas de degradação censuradas analisadas por métodos de sobrevivência</w:t>
      </w:r>
      <w:r>
        <w:t xml:space="preserve"> </w:t>
      </w:r>
      <w:r>
        <w:t xml:space="preserve">(Kaplan &amp; Meier, 1958)</w:t>
      </w:r>
      <w:r>
        <w:t xml:space="preserve"> </w:t>
      </w:r>
      <w:r>
        <w:t xml:space="preserve">que quantificam probabilidade de falha em função do tempo e covariáveis ambientais. A componente biogeoquímica requer amostragem sistemática de solo (0–15 cm) para quantificar carbono orgânico total (método Walkley-Black), nitrogênio disponível (Kjeldahl), atividade enzimática (β-glucosidase para ciclagem de carbono, fosfatase ácida para disponibilização de fósforo) e diversidade microbiana por sequenciamento metagenômico 16S rRNA em plataforma Illumina MiSeq, correlacionando consórcios microbianos com taxa de degradação do geotêxtil e qualidade do solo pós-incorporação.</w:t>
      </w:r>
    </w:p>
    <w:p>
      <w:pPr>
        <w:pStyle w:val="Corpodetexto"/>
      </w:pPr>
      <w:r>
        <w:t xml:space="preserve">A integração desses dados com modelos hidrológicos distribuídos como SWAT (</w:t>
      </w:r>
      <w:r>
        <w:rPr>
          <w:i/>
          <w:iCs/>
        </w:rPr>
        <w:t xml:space="preserve">Soil and Water Assessment Tool</w:t>
      </w:r>
      <w:r>
        <w:t xml:space="preserve">)</w:t>
      </w:r>
      <w:r>
        <w:t xml:space="preserve"> </w:t>
      </w:r>
      <w:r>
        <w:t xml:space="preserve">(Gassman et al., 2007)</w:t>
      </w:r>
      <w:r>
        <w:t xml:space="preserve"> </w:t>
      </w:r>
      <w:r>
        <w:t xml:space="preserve">e WEPP (</w:t>
      </w:r>
      <w:r>
        <w:rPr>
          <w:i/>
          <w:iCs/>
        </w:rPr>
        <w:t xml:space="preserve">Water Erosion Prediction Project</w:t>
      </w:r>
      <w:r>
        <w:t xml:space="preserve">)</w:t>
      </w:r>
      <w:r>
        <w:t xml:space="preserve"> </w:t>
      </w:r>
      <w:r>
        <w:t xml:space="preserve">(Flanagan et al., 2007)</w:t>
      </w:r>
      <w:r>
        <w:t xml:space="preserve"> </w:t>
      </w:r>
      <w:r>
        <w:t xml:space="preserve">calibrados por observações de campo permitirá extrapolar desempenho para cenários climáticos não observados, otimizar espaçamento de instalação (geotêxteis em faixas de 2 m intercaladas com vegetação versus cobertura contínua) e prever janelas de serviço sob regimes de precipitação variáveis, habilitando especificações customizadas para diferentes contextos edafoclimáticos.</w:t>
      </w:r>
    </w:p>
    <w:bookmarkEnd w:id="52"/>
    <w:bookmarkStart w:id="53" w:name="X0ebfaa89df18e7217b0637ea5c6644d9e60fadb"/>
    <w:p>
      <w:pPr>
        <w:pStyle w:val="Ttulo3"/>
      </w:pPr>
      <w:r>
        <w:t xml:space="preserve">5.5. Resiliência Climática e Cenários de Mudanças Globais</w:t>
      </w:r>
    </w:p>
    <w:p>
      <w:pPr>
        <w:pStyle w:val="FirstParagraph"/>
      </w:pPr>
      <w:r>
        <w:t xml:space="preserve">O modelo preditivo GLM incorpora índice UV como covariável (</w:t>
      </w: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r>
          <m:rPr>
            <m:sty m:val="p"/>
          </m:rPr>
          <m:t>(</m:t>
        </m:r>
        <m:r>
          <m:t>1</m:t>
        </m:r>
        <m:r>
          <m:rPr>
            <m:sty m:val="p"/>
          </m:rPr>
          <m:t>+</m:t>
        </m:r>
        <m:r>
          <m:t>0</m:t>
        </m:r>
        <m:r>
          <m:rPr>
            <m:sty m:val="p"/>
          </m:rPr>
          <m:t>,</m:t>
        </m:r>
        <m:r>
          <m:t>30</m:t>
        </m:r>
        <m:r>
          <m:rPr>
            <m:sty m:val="p"/>
          </m:rPr>
          <m:t>⋅</m:t>
        </m:r>
        <m:sSub>
          <m:e>
            <m:r>
              <m:rPr>
                <m:nor/>
                <m:sty m:val="p"/>
              </m:rPr>
              <m:t>UV</m:t>
            </m:r>
          </m:e>
          <m:sub>
            <m:r>
              <m:rPr>
                <m:nor/>
                <m:sty m:val="p"/>
              </m:rPr>
              <m:t>índice</m:t>
            </m:r>
          </m:sub>
        </m:sSub>
        <m:r>
          <m:rPr>
            <m:sty m:val="p"/>
          </m:rPr>
          <m:t>)</m:t>
        </m:r>
        <m:r>
          <m:rPr>
            <m:sty m:val="p"/>
          </m:rPr>
          <m:t>]</m:t>
        </m:r>
      </m:oMath>
      <w:r>
        <w:t xml:space="preserve">), mas foi calibrado apenas para condições semiáridas (irradiância média 6,5 kWh·m⁻²·dia⁻¹, precipitação 350 mm·estação⁻¹, temperatura 21–29°C). Validação explícita para regimes climáticos extremos é essencial para garantir robustez preditiva sob mudanças globais.</w:t>
      </w:r>
    </w:p>
    <w:p>
      <w:pPr>
        <w:pStyle w:val="Corpodetexto"/>
      </w:pPr>
      <w:r>
        <w:t xml:space="preserve">Eventos de precipitação extrema associados a fenômenos ENSO (El Niño-Oscilação Sul) podem elevar precipitação instantânea para &gt;100 mm·dia⁻¹ com duração de 72 h, induzindo saturação completa do solo e carregamento hidrodinâmico não previsto por modelos estáticos calibrados para regimes médios, potencialmente deslocando geotêxteis não ancorados ou causando falha por arrancamento em sistemas de fixação inadequados.</w:t>
      </w:r>
    </w:p>
    <w:p>
      <w:pPr>
        <w:pStyle w:val="Corpodetexto"/>
      </w:pPr>
      <w:r>
        <w:t xml:space="preserve">Por outro lado, períodos de dessecação prolongada (&gt;90 dias sem chuva) característicos do semiárido brasileiro reduzem umidade relativa do solo para &lt;10%, alterando consórcios microbianos dominantes de fungos filamentosos celulolíticos para bactérias xerofílicas com atividade enzimática reduzida, desacelerando degradação mas também induzindo fragilização por fotodegradação UV sem umidade compensatória que permita reparo enzimático parcial. As projeções climáticas do cenário RCP 8.5</w:t>
      </w:r>
      <w:r>
        <w:t xml:space="preserve"> </w:t>
      </w:r>
      <w:r>
        <w:t xml:space="preserve">(Meinshausen et al., 2011; Van Vuuren et al., 2011)</w:t>
      </w:r>
      <w:r>
        <w:t xml:space="preserve"> </w:t>
      </w:r>
      <w:r>
        <w:t xml:space="preserve">indicam aumento de temperatura máxima para &gt;40°C até 2100, acelerando simultaneamente fotodegradação UV por maior fluência de fótons de alta energia e taxa de reações enzimáticas governadas por cinética de Arrhenius com coeficiente térmico Q₁₀ ≈ 2 para celulases, dobrando a velocidade de degradação a cada 10°C de incremento.</w:t>
      </w:r>
    </w:p>
    <w:p>
      <w:pPr>
        <w:pStyle w:val="Corpodetexto"/>
      </w:pPr>
      <w:r>
        <w:t xml:space="preserve">Experimentos controlados em câmaras climáticas tipo Fitotron com controle de temperatura (±0,5°C) e umidade relativa (±5% UR) simulando trajetórias climáticas RCP 4.5 (aquecimento moderado, +2°C até 2100) e RCP 8.5 (cenário severo, +4,5°C)</w:t>
      </w:r>
      <w:r>
        <w:t xml:space="preserve"> </w:t>
      </w:r>
      <w:r>
        <w:t xml:space="preserve">(Van Vuuren et al., 2011)</w:t>
      </w:r>
      <w:r>
        <w:t xml:space="preserve"> </w:t>
      </w:r>
      <w:r>
        <w:t xml:space="preserve">com ciclos diurnos-noturnos realistas (amplitude térmica 15°C, fotoperíodo ajustável) e pulsos de precipitação programados mimetizando eventos extremos permitirão quantificar sensibilidade paramétrica do modelo através da função expandida:</w:t>
      </w:r>
    </w:p>
    <w:p>
      <w:pPr>
        <w:pStyle w:val="Corpodetexto"/>
      </w:pPr>
      <m:oMathPara>
        <m:oMathParaPr>
          <m:jc m:val="center"/>
        </m:oMathParaPr>
        <m:oMath>
          <m:sSub>
            <m:e>
              <m:r>
                <m:t>k</m:t>
              </m:r>
            </m:e>
            <m:sub>
              <m:r>
                <m:rPr>
                  <m:nor/>
                  <m:sty m:val="p"/>
                </m:rPr>
                <m:t>clima</m:t>
              </m:r>
            </m:sub>
          </m:sSub>
          <m:r>
            <m:rPr>
              <m:sty m:val="p"/>
            </m:rPr>
            <m:t>=</m:t>
          </m:r>
          <m:sSub>
            <m:e>
              <m:r>
                <m:t>k</m:t>
              </m:r>
            </m:e>
            <m:sub>
              <m:r>
                <m:t>0</m:t>
              </m:r>
            </m:sub>
          </m:sSub>
          <m:r>
            <m:rPr>
              <m:sty m:val="p"/>
            </m:rPr>
            <m:t>⋅</m:t>
          </m:r>
          <m:sSup>
            <m:e>
              <m:r>
                <m:t>e</m:t>
              </m:r>
            </m:e>
            <m:sup>
              <m:r>
                <m:rPr>
                  <m:sty m:val="p"/>
                </m:rPr>
                <m:t>−</m:t>
              </m:r>
              <m:sSub>
                <m:e>
                  <m:r>
                    <m:t>E</m:t>
                  </m:r>
                </m:e>
                <m:sub>
                  <m:r>
                    <m:t>a</m:t>
                  </m:r>
                </m:sub>
              </m:sSub>
              <m:r>
                <m:rPr>
                  <m:sty m:val="p"/>
                </m:rPr>
                <m:t>/</m:t>
              </m:r>
              <m:r>
                <m:t>R</m:t>
              </m:r>
              <m:r>
                <m:t>T</m:t>
              </m:r>
            </m:sup>
          </m:sSup>
          <m:r>
            <m:rPr>
              <m:sty m:val="p"/>
            </m:rPr>
            <m:t>⋅</m:t>
          </m:r>
          <m:r>
            <m:rPr>
              <m:sty m:val="p"/>
            </m:rPr>
            <m:t>(</m:t>
          </m:r>
          <m:r>
            <m:t>1</m:t>
          </m:r>
          <m:r>
            <m:rPr>
              <m:sty m:val="p"/>
            </m:rPr>
            <m:t>+</m:t>
          </m:r>
          <m:r>
            <m:t>α</m:t>
          </m:r>
          <m:r>
            <m:rPr>
              <m:sty m:val="p"/>
            </m:rPr>
            <m:t>⋅</m:t>
          </m:r>
          <m:r>
            <m:rPr>
              <m:nor/>
              <m:sty m:val="p"/>
            </m:rPr>
            <m:t>UV</m:t>
          </m:r>
          <m:r>
            <m:rPr>
              <m:sty m:val="p"/>
            </m:rPr>
            <m:t>)</m:t>
          </m:r>
          <m:r>
            <m:rPr>
              <m:sty m:val="p"/>
            </m:rPr>
            <m:t>⋅</m:t>
          </m:r>
          <m:r>
            <m:t>f</m:t>
          </m:r>
          <m:r>
            <m:rPr>
              <m:sty m:val="p"/>
            </m:rPr>
            <m:t>(</m:t>
          </m:r>
          <m:r>
            <m:rPr>
              <m:nor/>
              <m:sty m:val="p"/>
            </m:rPr>
            <m:t>RH</m:t>
          </m:r>
          <m:r>
            <m:rPr>
              <m:sty m:val="p"/>
            </m:rPr>
            <m:t>,</m:t>
          </m:r>
          <m:sSub>
            <m:e>
              <m:r>
                <m:t>P</m:t>
              </m:r>
            </m:e>
            <m:sub>
              <m:r>
                <m:rPr>
                  <m:nor/>
                  <m:sty m:val="p"/>
                </m:rPr>
                <m:t>precip</m:t>
              </m:r>
            </m:sub>
          </m:sSub>
          <m:r>
            <m:rPr>
              <m:sty m:val="p"/>
            </m:rPr>
            <m:t>)</m:t>
          </m:r>
        </m:oMath>
      </m:oMathPara>
    </w:p>
    <w:p>
      <w:pPr>
        <w:pStyle w:val="FirstParagraph"/>
      </w:pPr>
      <w:r>
        <w:t xml:space="preserve">onde</w:t>
      </w:r>
      <w:r>
        <w:t xml:space="preserve"> </w:t>
      </w:r>
      <m:oMath>
        <m:sSub>
          <m:e>
            <m:r>
              <m:t>E</m:t>
            </m:r>
          </m:e>
          <m:sub>
            <m:r>
              <m:t>a</m:t>
            </m:r>
          </m:sub>
        </m:sSub>
      </m:oMath>
      <w:r>
        <w:t xml:space="preserve"> </w:t>
      </w:r>
      <w:r>
        <w:t xml:space="preserve">é energia de ativação da degradação enzimática (50–70 kJ·mol⁻¹ para celulases),</w:t>
      </w:r>
      <w:r>
        <w:t xml:space="preserve"> </w:t>
      </w:r>
      <m:oMath>
        <m:r>
          <m:t>R</m:t>
        </m:r>
      </m:oMath>
      <w:r>
        <w:t xml:space="preserve"> </w:t>
      </w:r>
      <w:r>
        <w:t xml:space="preserve">constante universal dos gases,</w:t>
      </w:r>
      <w:r>
        <w:t xml:space="preserve"> </w:t>
      </w:r>
      <m:oMath>
        <m:r>
          <m:t>T</m:t>
        </m:r>
      </m:oMath>
      <w:r>
        <w:t xml:space="preserve"> </w:t>
      </w:r>
      <w:r>
        <w:t xml:space="preserve">temperatura absoluta,</w:t>
      </w:r>
      <w:r>
        <w:t xml:space="preserve"> </w:t>
      </w:r>
      <m:oMath>
        <m:r>
          <m:t>α</m:t>
        </m:r>
      </m:oMath>
      <w:r>
        <w:t xml:space="preserve"> </w:t>
      </w:r>
      <w:r>
        <w:t xml:space="preserve">coeficiente de fotoaceleração UV e</w:t>
      </w:r>
      <w:r>
        <w:t xml:space="preserve"> </w:t>
      </w:r>
      <m:oMath>
        <m:r>
          <m:t>f</m:t>
        </m:r>
        <m:r>
          <m:rPr>
            <m:sty m:val="p"/>
          </m:rPr>
          <m:t>(</m:t>
        </m:r>
        <m:r>
          <m:rPr>
            <m:nor/>
            <m:sty m:val="p"/>
          </m:rPr>
          <m:t>RH</m:t>
        </m:r>
        <m:r>
          <m:rPr>
            <m:sty m:val="p"/>
          </m:rPr>
          <m:t>,</m:t>
        </m:r>
        <m:sSub>
          <m:e>
            <m:r>
              <m:t>P</m:t>
            </m:r>
          </m:e>
          <m:sub>
            <m:r>
              <m:rPr>
                <m:nor/>
                <m:sty m:val="p"/>
              </m:rPr>
              <m:t>precip</m:t>
            </m:r>
          </m:sub>
        </m:sSub>
        <m:r>
          <m:rPr>
            <m:sty m:val="p"/>
          </m:rPr>
          <m:t>)</m:t>
        </m:r>
      </m:oMath>
      <w:r>
        <w:t xml:space="preserve"> </w:t>
      </w:r>
      <w:r>
        <w:t xml:space="preserve">função empírica de umidade relativa e precipitação acumulada.</w:t>
      </w:r>
    </w:p>
    <w:p>
      <w:pPr>
        <w:pStyle w:val="Corpodetexto"/>
      </w:pPr>
      <w:r>
        <w:t xml:space="preserve">O preenchimento dessas lacunas estratégicas transformará a base empírica fragmentada atual em um sistema preditivo robusto e escalável, habilitando especificação quantitativa de geotêxteis naturais através de bancos de dados parametrizados contendo composição química (razão L/C), cinética de degradação (</w:t>
      </w:r>
      <m:oMath>
        <m:r>
          <m:t>k</m:t>
        </m:r>
      </m:oMath>
      <w:r>
        <w:t xml:space="preserve">), parâmetros de Weibull (</w:t>
      </w:r>
      <m:oMath>
        <m:r>
          <m:t>β</m:t>
        </m:r>
      </m:oMath>
      <w:r>
        <w:t xml:space="preserve">,</w:t>
      </w:r>
      <w:r>
        <w:t xml:space="preserve"> </w:t>
      </w:r>
      <m:oMath>
        <m:r>
          <m:t>η</m:t>
        </m:r>
      </m:oMath>
      <w:r>
        <w:t xml:space="preserve">) e propriedades mecânicas, permitindo seleção orientada por dados de espécies vegetais e tratamentos superficiais para condições edafoclimáticas específicas sem necessidade de ensaios exploratórios extensivos.</w:t>
      </w:r>
    </w:p>
    <w:p>
      <w:pPr>
        <w:pStyle w:val="Corpodetexto"/>
      </w:pPr>
      <w:r>
        <w:t xml:space="preserve">Esse arcabouço quantitativo subsidiará o desenvolvimento de normas técnicas brasileiras (ABNT) específicas para geotêxteis biodegradáveis, incluindo protocolos de ensaios acelerados de degradação combinando exposição UV, temperatura elevada e umidade cíclica correlacionados com desempenho de campo através de fatores de conversão validados empiricamente, equiparando o rigor normativo dos materiais sintéticos mas reconhecendo a natureza estocástica e temporizada dos materiais biológicos.</w:t>
      </w:r>
    </w:p>
    <w:p>
      <w:pPr>
        <w:pStyle w:val="Corpodetexto"/>
      </w:pPr>
      <w:r>
        <w:t xml:space="preserve">A transferência tecnológica para cooperativas rurais e associações de produtores requer protocolos simplificados de fabricação em campo abrangendo todas as etapas desde colheita sazonal da biomassa, secagem solar controlada, mercerização alcalina em tanques de baixo custo, tecelagem manual ou semi-mecanizada até revestimento por imersão ou pulverização de resinas, reduzindo custos de produção de US$8–12·m⁻² típicos de geotêxteis sintéticos importados para US$2,50·m⁻² sem sacrifício de desempenho funcional na janela crítica de estabelecimento vegetal (90–150 dias), democratizando acesso à tecnologia e criando cadeias produtivas locais de economia circular.</w:t>
      </w:r>
    </w:p>
    <w:p>
      <w:pPr>
        <w:pStyle w:val="Corpodetexto"/>
      </w:pPr>
      <w:r>
        <w:t xml:space="preserve">A convergência de caracterização multiescalar (desde análise molecular por FTIR</w:t>
      </w:r>
      <w:r>
        <w:t xml:space="preserve"> </w:t>
      </w:r>
      <w:r>
        <w:t xml:space="preserve">(Xu et al., 2013)</w:t>
      </w:r>
      <w:r>
        <w:t xml:space="preserve"> </w:t>
      </w:r>
      <w:r>
        <w:t xml:space="preserve">e DRX</w:t>
      </w:r>
      <w:r>
        <w:t xml:space="preserve"> </w:t>
      </w:r>
      <w:r>
        <w:t xml:space="preserve">(Segal et al., 1959)</w:t>
      </w:r>
      <w:r>
        <w:t xml:space="preserve"> </w:t>
      </w:r>
      <w:r>
        <w:t xml:space="preserve">até monitoramento de bacias hidrográficas), modelagem mecanística integrando cinética enzimática, transporte de massa em meios porosos e mecânica da fratura probabilística, e validação extensiva sob condições reais de campo em gradientes climáticos posicionará os geotêxteis lignocelulósicos como tecnologia madura e certificável, acelerando sua adoção em larga escala em projetos de bioengenharia de solos tropicais, restauração de áreas degradadas e infraestrutura verde urbana, substituindo materiais fósseis persistentes por soluções renováveis com ciclo de vida fechado e múltiplos co-benefícios ambientais.</w:t>
      </w:r>
    </w:p>
    <w:p>
      <w:pPr>
        <w:pStyle w:val="Corpodetexto"/>
      </w:pPr>
      <w:r>
        <w:t xml:space="preserve">Outra limitação reside na escala espacial e temporal, visto que os resultados reportados derivam predominantemente de parcelas experimentais (5–50 m²) com períodos de observação de 180–360 dias. Faltam dados de desempenho em escala de sub-bacia hidrográfica (&gt;10 ha), integração com modelos hidrológicos distribuídos (SWAT, WEPP) e monitoramento estendido (&gt;5 anos) que capture ciclos completos de degradação, estabelecimento vegetal e estabilização permanente. Colaborações interinstitucionais para o estabelecimento de uma rede de sítios experimentais em gradientes climáticos (semiárido→úmido, 300→2000 mm·ano⁻¹) são prioritárias para a consolidação da tecnologia.</w:t>
      </w:r>
    </w:p>
    <w:p>
      <w:pPr>
        <w:pStyle w:val="Corpodetexto"/>
      </w:pPr>
      <w:r>
        <w:t xml:space="preserve">Por fim, a análise de sensibilidade climática do modelo preditivo GLM, que incorpora o índice UV como covariável, carece de validação explícita para regimes de precipitação extrema (&gt;100 mm·dia⁻¹, eventos ENSO), dessecação prolongada (&gt;90 dias sem chuva) e temperatura elevada (Tₘₐₓ &gt;40°C). Experimentos em câmaras climáticas simulando cenários de mudanças climáticas RCP 4.5 e RCP 8.5</w:t>
      </w:r>
      <w:r>
        <w:t xml:space="preserve"> </w:t>
      </w:r>
      <w:r>
        <w:t xml:space="preserve">(Meinshausen et al., 2011; Van Vuuren et al., 2011)</w:t>
      </w:r>
      <w:r>
        <w:t xml:space="preserve"> </w:t>
      </w:r>
      <w:r>
        <w:t xml:space="preserve">permitirão avaliar a resiliência da tecnologia sob estresse ambiental amplificado.</w:t>
      </w:r>
    </w:p>
    <w:bookmarkEnd w:id="53"/>
    <w:bookmarkEnd w:id="54"/>
    <w:bookmarkStart w:id="55" w:name="conclusões"/>
    <w:p>
      <w:pPr>
        <w:pStyle w:val="Ttulo2"/>
      </w:pPr>
      <w:r>
        <w:t xml:space="preserve">Conclusões</w:t>
      </w:r>
    </w:p>
    <w:p>
      <w:pPr>
        <w:pStyle w:val="FirstParagraph"/>
      </w:pPr>
      <w:r>
        <w:t xml:space="preserve">A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pPr>
        <w:pStyle w:val="Corpodetexto"/>
      </w:pPr>
      <w:r>
        <w:t xml:space="preserve">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pPr>
        <w:pStyle w:val="Corpodetexto"/>
      </w:pPr>
      <w:r>
        <w:t xml:space="preserve">As estratégias de modificação superficial demonstraram que a otimização do desempenho mecânico e da durabilidade não é linear. Tratamentos alcalinos moderados promovem ganhos estruturais sem comprometer a flexibilidade, enquanto 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naturais competitivos frente aos sintéticos em aplicações temporárias.</w:t>
      </w:r>
    </w:p>
    <w:p>
      <w:pPr>
        <w:pStyle w:val="Corpodetexto"/>
      </w:pPr>
      <w:r>
        <w:t xml:space="preserve">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contínua da estabilização artificial para a coesão natural.</w:t>
      </w:r>
    </w:p>
    <w:p>
      <w:pPr>
        <w:pStyle w:val="Corpodetexto"/>
      </w:pPr>
      <w:r>
        <w:t xml:space="preserve">Integração de modelos estocásticos, caracterização avançada de materiais e valoração de serviços ambientais fundamenta uma nova disciplina de bioengenharia baseada em evidências. Essa abordagem posiciona os geotêxteis lignocelulósicos não apenas como alternativas sustentáveis, mas como soluções técnicas robustas e economicamente viáveis para os desafios da engenharia de solos em regiões tropicais.</w:t>
      </w:r>
    </w:p>
    <w:bookmarkEnd w:id="55"/>
    <w:bookmarkStart w:id="258" w:name="referências"/>
    <w:p>
      <w:pPr>
        <w:pStyle w:val="Ttulo2"/>
      </w:pPr>
      <w:r>
        <w:t xml:space="preserve">Referências</w:t>
      </w:r>
    </w:p>
    <w:bookmarkStart w:id="257" w:name="refs"/>
    <w:bookmarkStart w:id="57" w:name="ref-Akter2020"/>
    <w:p>
      <w:pPr>
        <w:pStyle w:val="Bibliografia"/>
      </w:pPr>
      <w:r>
        <w:t xml:space="preserve">Akter, N., Das, S., Grammatikos, S., Saha, J., &amp; Khan, M. (2020). Development of sustainable jute geotextiles by bitumen emulsion and polyester resin: Effect of gamma radiation.</w:t>
      </w:r>
      <w:r>
        <w:t xml:space="preserve"> </w:t>
      </w:r>
      <w:r>
        <w:rPr>
          <w:i/>
          <w:iCs/>
        </w:rPr>
        <w:t xml:space="preserve">Journal of Engineered Fibers and Fabrics</w:t>
      </w:r>
      <w:r>
        <w:t xml:space="preserve">,</w:t>
      </w:r>
      <w:r>
        <w:t xml:space="preserve"> </w:t>
      </w:r>
      <w:r>
        <w:rPr>
          <w:i/>
          <w:iCs/>
        </w:rPr>
        <w:t xml:space="preserve">15</w:t>
      </w:r>
      <w:r>
        <w:t xml:space="preserve">, 1–12.</w:t>
      </w:r>
      <w:r>
        <w:t xml:space="preserve"> </w:t>
      </w:r>
      <w:hyperlink r:id="rId56">
        <w:r>
          <w:rPr>
            <w:rStyle w:val="Hyperlink"/>
          </w:rPr>
          <w:t xml:space="preserve">https://doi.org/10.1177/1558925020957969</w:t>
        </w:r>
      </w:hyperlink>
    </w:p>
    <w:bookmarkEnd w:id="57"/>
    <w:bookmarkStart w:id="59" w:name="ref-Almeida2023"/>
    <w:p>
      <w:pPr>
        <w:pStyle w:val="Bibliografia"/>
      </w:pPr>
      <w:r>
        <w:t xml:space="preserve">Almeida, J. et al.</w:t>
      </w:r>
      <w:r>
        <w:t xml:space="preserve"> (2023). Comparison of mechanical performance of different geotextiles manufactured from natural fibers subjected to environmental biodegradation.</w:t>
      </w:r>
      <w:r>
        <w:t xml:space="preserve"> </w:t>
      </w:r>
      <w:r>
        <w:rPr>
          <w:i/>
          <w:iCs/>
        </w:rPr>
        <w:t xml:space="preserve">The International Journal of Advanced Manufacturing Technology</w:t>
      </w:r>
      <w:r>
        <w:t xml:space="preserve">.</w:t>
      </w:r>
      <w:r>
        <w:t xml:space="preserve"> </w:t>
      </w:r>
      <w:hyperlink r:id="rId58">
        <w:r>
          <w:rPr>
            <w:rStyle w:val="Hyperlink"/>
          </w:rPr>
          <w:t xml:space="preserve">https://doi.org/10.1007/s00170-023-12549-w</w:t>
        </w:r>
      </w:hyperlink>
    </w:p>
    <w:bookmarkEnd w:id="59"/>
    <w:bookmarkStart w:id="61" w:name="ref-Amadou2022_natural_geotextile_cost"/>
    <w:p>
      <w:pPr>
        <w:pStyle w:val="Bibliografia"/>
      </w:pPr>
      <w:r>
        <w:t xml:space="preserve">Amadou, H. et al.</w:t>
      </w:r>
      <w:r>
        <w:t xml:space="preserve"> (2022). Evaluation of Environmental Impact of Palm-Fiber Based Geotextile Using a Life Cycle Method.</w:t>
      </w:r>
      <w:r>
        <w:t xml:space="preserve"> </w:t>
      </w:r>
      <w:r>
        <w:rPr>
          <w:i/>
          <w:iCs/>
        </w:rPr>
        <w:t xml:space="preserve">Key Engineering Materials</w:t>
      </w:r>
      <w:r>
        <w:t xml:space="preserve">,</w:t>
      </w:r>
      <w:r>
        <w:t xml:space="preserve"> </w:t>
      </w:r>
      <w:r>
        <w:rPr>
          <w:i/>
          <w:iCs/>
        </w:rPr>
        <w:t xml:space="preserve">925</w:t>
      </w:r>
      <w:r>
        <w:t xml:space="preserve">, 9–21.</w:t>
      </w:r>
      <w:r>
        <w:t xml:space="preserve"> </w:t>
      </w:r>
      <w:hyperlink r:id="rId60">
        <w:r>
          <w:rPr>
            <w:rStyle w:val="Hyperlink"/>
          </w:rPr>
          <w:t xml:space="preserve">https://doi.org/10.4028/www.scientific.net/KEM.925.9</w:t>
        </w:r>
      </w:hyperlink>
    </w:p>
    <w:bookmarkEnd w:id="61"/>
    <w:bookmarkStart w:id="63" w:name="ref-Bachtiar2025"/>
    <w:p>
      <w:pPr>
        <w:pStyle w:val="Bibliografia"/>
      </w:pPr>
      <w:r>
        <w:t xml:space="preserve">Bachtiar, D., Mohammed, A. A., Palanisamy, S., Imran, A. I., Siregar, J. P., Mat Rejab, M. R. bin, Syaubari, S., Cionita, T., Fitriyana, D. F., Al-Farraj, S. A., Almansour, M. I., &amp; Ma, Q. (2025). Effect of alkaline treatment on the thermal and mechanical properties of sugar palm fibre reinforced thermoplastic polyurethane composites.</w:t>
      </w:r>
      <w:r>
        <w:t xml:space="preserve"> </w:t>
      </w:r>
      <w:r>
        <w:rPr>
          <w:i/>
          <w:iCs/>
        </w:rPr>
        <w:t xml:space="preserve">Scientific Reports</w:t>
      </w:r>
      <w:r>
        <w:t xml:space="preserve">,</w:t>
      </w:r>
      <w:r>
        <w:t xml:space="preserve"> </w:t>
      </w:r>
      <w:r>
        <w:rPr>
          <w:i/>
          <w:iCs/>
        </w:rPr>
        <w:t xml:space="preserve">15</w:t>
      </w:r>
      <w:r>
        <w:t xml:space="preserve">, 14085.</w:t>
      </w:r>
      <w:r>
        <w:t xml:space="preserve"> </w:t>
      </w:r>
      <w:hyperlink r:id="rId62">
        <w:r>
          <w:rPr>
            <w:rStyle w:val="Hyperlink"/>
          </w:rPr>
          <w:t xml:space="preserve">https://doi.org/10.1038/s41598-025-99227-x</w:t>
        </w:r>
      </w:hyperlink>
    </w:p>
    <w:bookmarkEnd w:id="63"/>
    <w:bookmarkStart w:id="65" w:name="ref-Bai2022"/>
    <w:p>
      <w:pPr>
        <w:pStyle w:val="Bibliografia"/>
      </w:pPr>
      <w:r>
        <w:t xml:space="preserve">Bai, X., Li, C., Ma, L., Xin, P., Li, F., &amp; Xu, Z. (2022). Quantitative analysis of microplastics in coastal tidal-flat reclamation in Dongtai, China.</w:t>
      </w:r>
      <w:r>
        <w:t xml:space="preserve"> </w:t>
      </w:r>
      <w:r>
        <w:rPr>
          <w:i/>
          <w:iCs/>
        </w:rPr>
        <w:t xml:space="preserve">Frontiers of Environmental Science &amp; Engineering 2022 16:8</w:t>
      </w:r>
      <w:r>
        <w:t xml:space="preserve">,</w:t>
      </w:r>
      <w:r>
        <w:t xml:space="preserve"> </w:t>
      </w:r>
      <w:r>
        <w:rPr>
          <w:i/>
          <w:iCs/>
        </w:rPr>
        <w:t xml:space="preserve">16</w:t>
      </w:r>
      <w:r>
        <w:t xml:space="preserve">, 1–11.</w:t>
      </w:r>
      <w:r>
        <w:t xml:space="preserve"> </w:t>
      </w:r>
      <w:hyperlink r:id="rId64">
        <w:r>
          <w:rPr>
            <w:rStyle w:val="Hyperlink"/>
          </w:rPr>
          <w:t xml:space="preserve">https://doi.org/10.1007/S11783-022-1528-5</w:t>
        </w:r>
      </w:hyperlink>
    </w:p>
    <w:bookmarkEnd w:id="65"/>
    <w:bookmarkStart w:id="67" w:name="ref-BarreiraPinto2023"/>
    <w:p>
      <w:pPr>
        <w:pStyle w:val="Bibliografia"/>
      </w:pPr>
      <w:r>
        <w:t xml:space="preserve">Barreira-Pinto, R., Carneiro, R., Miranda, M., &amp; Guedes, R. M. (2023). Polymer-Matrix Composites: Characterising the Impact of Environmental Factors on Their Lifetime.</w:t>
      </w:r>
      <w:r>
        <w:t xml:space="preserve"> </w:t>
      </w:r>
      <w:r>
        <w:rPr>
          <w:i/>
          <w:iCs/>
        </w:rPr>
        <w:t xml:space="preserve">Materials</w:t>
      </w:r>
      <w:r>
        <w:t xml:space="preserve">,</w:t>
      </w:r>
      <w:r>
        <w:t xml:space="preserve"> </w:t>
      </w:r>
      <w:r>
        <w:rPr>
          <w:i/>
          <w:iCs/>
        </w:rPr>
        <w:t xml:space="preserve">16</w:t>
      </w:r>
      <w:r>
        <w:t xml:space="preserve">, 3913.</w:t>
      </w:r>
      <w:r>
        <w:t xml:space="preserve"> </w:t>
      </w:r>
      <w:hyperlink r:id="rId66">
        <w:r>
          <w:rPr>
            <w:rStyle w:val="Hyperlink"/>
          </w:rPr>
          <w:t xml:space="preserve">https://doi.org/10.3390/ma16113913</w:t>
        </w:r>
      </w:hyperlink>
    </w:p>
    <w:bookmarkEnd w:id="67"/>
    <w:bookmarkStart w:id="69" w:name="ref-Bhatia2010"/>
    <w:p>
      <w:pPr>
        <w:pStyle w:val="Bibliografia"/>
      </w:pPr>
      <w:r>
        <w:t xml:space="preserve">Bhatia, S. K., Rao, G. V., &amp; Smith, J. L. (2010). International Practices and Guidance: Natural-Fiber Rolled Erosion Control Products. Em S. E. and Burns, S. K. Bhatia, C. M. C. Avila, &amp; B. E. Hunt (Org.),</w:t>
      </w:r>
      <w:r>
        <w:t xml:space="preserve"> </w:t>
      </w:r>
      <w:r>
        <w:rPr>
          <w:i/>
          <w:iCs/>
        </w:rPr>
        <w:t xml:space="preserve">Proceedings 5th International Conference on Scour and Erosion (ICSE-5), November 7-10, 2010, San Francisco, USA</w:t>
      </w:r>
      <w:r>
        <w:t xml:space="preserve"> </w:t>
      </w:r>
      <w:r>
        <w:t xml:space="preserve">(p. 231). American Society of Civil Engineers.</w:t>
      </w:r>
      <w:r>
        <w:t xml:space="preserve"> </w:t>
      </w:r>
      <w:hyperlink r:id="rId68">
        <w:r>
          <w:rPr>
            <w:rStyle w:val="Hyperlink"/>
          </w:rPr>
          <w:t xml:space="preserve">https://hdl.handle.net/20.500.11970/100238</w:t>
        </w:r>
      </w:hyperlink>
    </w:p>
    <w:bookmarkEnd w:id="69"/>
    <w:bookmarkStart w:id="71" w:name="ref-Bispo2017"/>
    <w:p>
      <w:pPr>
        <w:pStyle w:val="Bibliografia"/>
      </w:pPr>
      <w:r>
        <w:t xml:space="preserve">Bispo, D. F. A., Silva, M. L. N., Pontes, L. M., Guimarães, D. V., Sá e Melo Marques, J. J. G. de, &amp; Curi, N. (2017). Soil, water, nutrients and soil organic matter losses by water erosion as a function of soil management in the Posses sub-watershed, Extrema, Minas Gerais, Brazil.</w:t>
      </w:r>
      <w:r>
        <w:t xml:space="preserve"> </w:t>
      </w:r>
      <w:r>
        <w:rPr>
          <w:i/>
          <w:iCs/>
        </w:rPr>
        <w:t xml:space="preserve">Semina: Ciências Agrárias</w:t>
      </w:r>
      <w:r>
        <w:t xml:space="preserve">,</w:t>
      </w:r>
      <w:r>
        <w:t xml:space="preserve"> </w:t>
      </w:r>
      <w:r>
        <w:rPr>
          <w:i/>
          <w:iCs/>
        </w:rPr>
        <w:t xml:space="preserve">38</w:t>
      </w:r>
      <w:r>
        <w:t xml:space="preserve">, 1813–1824.</w:t>
      </w:r>
      <w:r>
        <w:t xml:space="preserve"> </w:t>
      </w:r>
      <w:hyperlink r:id="rId70">
        <w:r>
          <w:rPr>
            <w:rStyle w:val="Hyperlink"/>
          </w:rPr>
          <w:t xml:space="preserve">https://doi.org/10.5433/1679-0359.2017v38n4p1813</w:t>
        </w:r>
      </w:hyperlink>
    </w:p>
    <w:bookmarkEnd w:id="71"/>
    <w:bookmarkStart w:id="73" w:name="ref-Blanchette1995"/>
    <w:p>
      <w:pPr>
        <w:pStyle w:val="Bibliografia"/>
      </w:pPr>
      <w:r>
        <w:t xml:space="preserve">Blanchette, R. A. (1995). Delignification by wood-decay fungi.</w:t>
      </w:r>
      <w:r>
        <w:t xml:space="preserve"> </w:t>
      </w:r>
      <w:r>
        <w:rPr>
          <w:i/>
          <w:iCs/>
        </w:rPr>
        <w:t xml:space="preserve">Annual Review of Phytopathology</w:t>
      </w:r>
      <w:r>
        <w:t xml:space="preserve">,</w:t>
      </w:r>
      <w:r>
        <w:t xml:space="preserve"> </w:t>
      </w:r>
      <w:r>
        <w:rPr>
          <w:i/>
          <w:iCs/>
        </w:rPr>
        <w:t xml:space="preserve">33</w:t>
      </w:r>
      <w:r>
        <w:t xml:space="preserve">, 381–403.</w:t>
      </w:r>
      <w:r>
        <w:t xml:space="preserve"> </w:t>
      </w:r>
      <w:hyperlink r:id="rId72">
        <w:r>
          <w:rPr>
            <w:rStyle w:val="Hyperlink"/>
          </w:rPr>
          <w:t xml:space="preserve">https://doi.org/10.1146/annurev.py.33.090191.002121</w:t>
        </w:r>
      </w:hyperlink>
    </w:p>
    <w:bookmarkEnd w:id="73"/>
    <w:bookmarkStart w:id="75" w:name="ref-Boerjan2003"/>
    <w:p>
      <w:pPr>
        <w:pStyle w:val="Bibliografia"/>
      </w:pPr>
      <w:r>
        <w:t xml:space="preserve">Boerjan, W., Ralph, J., &amp; Baucher, M. (2003). Lignin biosynthesis.</w:t>
      </w:r>
      <w:r>
        <w:t xml:space="preserve"> </w:t>
      </w:r>
      <w:r>
        <w:rPr>
          <w:i/>
          <w:iCs/>
        </w:rPr>
        <w:t xml:space="preserve">Annual Review of Plant Biology</w:t>
      </w:r>
      <w:r>
        <w:t xml:space="preserve">,</w:t>
      </w:r>
      <w:r>
        <w:t xml:space="preserve"> </w:t>
      </w:r>
      <w:r>
        <w:rPr>
          <w:i/>
          <w:iCs/>
        </w:rPr>
        <w:t xml:space="preserve">54</w:t>
      </w:r>
      <w:r>
        <w:t xml:space="preserve">, 519–546.</w:t>
      </w:r>
      <w:r>
        <w:t xml:space="preserve"> </w:t>
      </w:r>
      <w:hyperlink r:id="rId74">
        <w:r>
          <w:rPr>
            <w:rStyle w:val="Hyperlink"/>
          </w:rPr>
          <w:t xml:space="preserve">https://doi.org/10.1146/annurev.arplant.54.031902.134938</w:t>
        </w:r>
      </w:hyperlink>
    </w:p>
    <w:bookmarkEnd w:id="75"/>
    <w:bookmarkStart w:id="77" w:name="ref-Bogdanov2023"/>
    <w:p>
      <w:pPr>
        <w:pStyle w:val="Bibliografia"/>
      </w:pPr>
      <w:r>
        <w:t xml:space="preserve">Bogdanov, A. A., Panin, S. V., &amp; Kosmachev, P. V. (2023). Fatigue Damage Assessment and Lifetime Prediction of Short Fiber Reinforced Polymer Composites—A Review.</w:t>
      </w:r>
      <w:r>
        <w:t xml:space="preserve"> </w:t>
      </w:r>
      <w:r>
        <w:rPr>
          <w:i/>
          <w:iCs/>
        </w:rPr>
        <w:t xml:space="preserve">Journal of Composites Science</w:t>
      </w:r>
      <w:r>
        <w:t xml:space="preserve">,</w:t>
      </w:r>
      <w:r>
        <w:t xml:space="preserve"> </w:t>
      </w:r>
      <w:r>
        <w:rPr>
          <w:i/>
          <w:iCs/>
        </w:rPr>
        <w:t xml:space="preserve">7</w:t>
      </w:r>
      <w:r>
        <w:t xml:space="preserve">, 484.</w:t>
      </w:r>
      <w:r>
        <w:t xml:space="preserve"> </w:t>
      </w:r>
      <w:hyperlink r:id="rId76">
        <w:r>
          <w:rPr>
            <w:rStyle w:val="Hyperlink"/>
          </w:rPr>
          <w:t xml:space="preserve">https://doi.org/10.3390/jcs7120484</w:t>
        </w:r>
      </w:hyperlink>
    </w:p>
    <w:bookmarkEnd w:id="77"/>
    <w:bookmarkStart w:id="79" w:name="ref-Borrelli2017"/>
    <w:p>
      <w:pPr>
        <w:pStyle w:val="Bibliografia"/>
      </w:pPr>
      <w:r>
        <w:t xml:space="preserve">Borrelli, P., Robinson, D. A., Fleischer, L. R., Lugato, E., Ballabio, C., Alewell, C., Meusburger, K., Modugno, S., Sch"utt, B., Ferro, V., Bagarello, V., Van Oost, K., Montanarella, L., &amp; Panagos, P. (2017). An assessment of the global impact of 21st century land use change on soil erosion.</w:t>
      </w:r>
      <w:r>
        <w:t xml:space="preserve"> </w:t>
      </w:r>
      <w:r>
        <w:rPr>
          <w:i/>
          <w:iCs/>
        </w:rPr>
        <w:t xml:space="preserve">Nature Communications</w:t>
      </w:r>
      <w:r>
        <w:t xml:space="preserve">,</w:t>
      </w:r>
      <w:r>
        <w:t xml:space="preserve"> </w:t>
      </w:r>
      <w:r>
        <w:rPr>
          <w:i/>
          <w:iCs/>
        </w:rPr>
        <w:t xml:space="preserve">8</w:t>
      </w:r>
      <w:r>
        <w:t xml:space="preserve">, 2013.</w:t>
      </w:r>
      <w:r>
        <w:t xml:space="preserve"> </w:t>
      </w:r>
      <w:hyperlink r:id="rId78">
        <w:r>
          <w:rPr>
            <w:rStyle w:val="Hyperlink"/>
          </w:rPr>
          <w:t xml:space="preserve">https://doi.org/10.1038/s41467-017-02142-7</w:t>
        </w:r>
      </w:hyperlink>
    </w:p>
    <w:bookmarkEnd w:id="79"/>
    <w:bookmarkStart w:id="81" w:name="ref-Brady2009"/>
    <w:p>
      <w:pPr>
        <w:pStyle w:val="Bibliografia"/>
      </w:pPr>
      <w:r>
        <w:t xml:space="preserve">Brady, N. C., &amp; Weil, R. R. (2009).</w:t>
      </w:r>
      <w:r>
        <w:t xml:space="preserve"> </w:t>
      </w:r>
      <w:r>
        <w:rPr>
          <w:i/>
          <w:iCs/>
        </w:rPr>
        <w:t xml:space="preserve">Elementos da natureza e propriedades dos solos</w:t>
      </w:r>
      <w:r>
        <w:t xml:space="preserve">. Bookman Editora.</w:t>
      </w:r>
      <w:r>
        <w:t xml:space="preserve"> </w:t>
      </w:r>
      <w:hyperlink r:id="rId80">
        <w:r>
          <w:rPr>
            <w:rStyle w:val="Hyperlink"/>
          </w:rPr>
          <w:t xml:space="preserve">https://doi.org/10.22533/at.ed.653182002</w:t>
        </w:r>
      </w:hyperlink>
    </w:p>
    <w:bookmarkEnd w:id="81"/>
    <w:bookmarkStart w:id="82" w:name="ref-Brunsek2023"/>
    <w:p>
      <w:pPr>
        <w:pStyle w:val="Bibliografia"/>
      </w:pPr>
      <w:r>
        <w:t xml:space="preserve">Brunšek, R., Kopitar, D., Schwarz, I., &amp; Marasović, P. (2023). Biodegradation properties of cellulose fibers and PLA biopolymer.</w:t>
      </w:r>
      <w:r>
        <w:t xml:space="preserve"> </w:t>
      </w:r>
      <w:r>
        <w:rPr>
          <w:i/>
          <w:iCs/>
        </w:rPr>
        <w:t xml:space="preserve">Polymers</w:t>
      </w:r>
      <w:r>
        <w:t xml:space="preserve">,</w:t>
      </w:r>
      <w:r>
        <w:t xml:space="preserve"> </w:t>
      </w:r>
      <w:r>
        <w:rPr>
          <w:i/>
          <w:iCs/>
        </w:rPr>
        <w:t xml:space="preserve">15</w:t>
      </w:r>
      <w:r>
        <w:t xml:space="preserve">(17), 3532.</w:t>
      </w:r>
    </w:p>
    <w:bookmarkEnd w:id="82"/>
    <w:bookmarkStart w:id="84" w:name="ref-Cardoso2023_TGA_biomass"/>
    <w:p>
      <w:pPr>
        <w:pStyle w:val="Bibliografia"/>
      </w:pPr>
      <w:r>
        <w:t xml:space="preserve">Cardoso, C. R., &amp; Ataíde, C. H. (2023). TGA-FTIR Analysis of Biomass Samples Based on the Thermal Decomposition Behavior of Hemicellulose, Cellulose, and Lignin.</w:t>
      </w:r>
      <w:r>
        <w:t xml:space="preserve"> </w:t>
      </w:r>
      <w:r>
        <w:rPr>
          <w:i/>
          <w:iCs/>
        </w:rPr>
        <w:t xml:space="preserve">Energies</w:t>
      </w:r>
      <w:r>
        <w:t xml:space="preserve">,</w:t>
      </w:r>
      <w:r>
        <w:t xml:space="preserve"> </w:t>
      </w:r>
      <w:r>
        <w:rPr>
          <w:i/>
          <w:iCs/>
        </w:rPr>
        <w:t xml:space="preserve">16</w:t>
      </w:r>
      <w:r>
        <w:t xml:space="preserve">(9), 3674.</w:t>
      </w:r>
      <w:r>
        <w:t xml:space="preserve"> </w:t>
      </w:r>
      <w:hyperlink r:id="rId83">
        <w:r>
          <w:rPr>
            <w:rStyle w:val="Hyperlink"/>
          </w:rPr>
          <w:t xml:space="preserve">https://doi.org/10.3390/en16093674</w:t>
        </w:r>
      </w:hyperlink>
    </w:p>
    <w:bookmarkEnd w:id="84"/>
    <w:bookmarkStart w:id="86" w:name="ref-Cardoso2006"/>
    <w:p>
      <w:pPr>
        <w:pStyle w:val="Bibliografia"/>
      </w:pPr>
      <w:r>
        <w:t xml:space="preserve">Cardoso, I. M., &amp; Kuyper, T. W. (2006). Mycorrhizas and tropical soil fertility.</w:t>
      </w:r>
      <w:r>
        <w:t xml:space="preserve"> </w:t>
      </w:r>
      <w:r>
        <w:rPr>
          <w:i/>
          <w:iCs/>
        </w:rPr>
        <w:t xml:space="preserve">Agriculture, Ecosystems and Environment</w:t>
      </w:r>
      <w:r>
        <w:t xml:space="preserve">,</w:t>
      </w:r>
      <w:r>
        <w:t xml:space="preserve"> </w:t>
      </w:r>
      <w:r>
        <w:rPr>
          <w:i/>
          <w:iCs/>
        </w:rPr>
        <w:t xml:space="preserve">116</w:t>
      </w:r>
      <w:r>
        <w:t xml:space="preserve">, 72–84.</w:t>
      </w:r>
      <w:r>
        <w:t xml:space="preserve"> </w:t>
      </w:r>
      <w:hyperlink r:id="rId85">
        <w:r>
          <w:rPr>
            <w:rStyle w:val="Hyperlink"/>
          </w:rPr>
          <w:t xml:space="preserve">https://doi.org/10.1016/j.agee.2006.01.005</w:t>
        </w:r>
      </w:hyperlink>
    </w:p>
    <w:bookmarkEnd w:id="86"/>
    <w:bookmarkStart w:id="88" w:name="ref-Carneiro2017"/>
    <w:p>
      <w:pPr>
        <w:pStyle w:val="Bibliografia"/>
      </w:pPr>
      <w:r>
        <w:t xml:space="preserve">Carneiro, J. R., &amp; Lopes, M. L. (2017). Natural weathering of polypropylene geotextiles treated with different chemical stabilisers.</w:t>
      </w:r>
      <w:r>
        <w:t xml:space="preserve"> </w:t>
      </w:r>
      <w:r>
        <w:rPr>
          <w:i/>
          <w:iCs/>
        </w:rPr>
        <w:t xml:space="preserve">Geosynthetics International</w:t>
      </w:r>
      <w:r>
        <w:t xml:space="preserve">,</w:t>
      </w:r>
      <w:r>
        <w:t xml:space="preserve"> </w:t>
      </w:r>
      <w:r>
        <w:rPr>
          <w:i/>
          <w:iCs/>
        </w:rPr>
        <w:t xml:space="preserve">24</w:t>
      </w:r>
      <w:r>
        <w:t xml:space="preserve">, 544–553.</w:t>
      </w:r>
      <w:r>
        <w:t xml:space="preserve"> </w:t>
      </w:r>
      <w:hyperlink r:id="rId87">
        <w:r>
          <w:rPr>
            <w:rStyle w:val="Hyperlink"/>
          </w:rPr>
          <w:t xml:space="preserve">https://doi.org/10.1680/jgein.17.00020</w:t>
        </w:r>
      </w:hyperlink>
    </w:p>
    <w:bookmarkEnd w:id="88"/>
    <w:bookmarkStart w:id="90" w:name="ref-Carneiro2018"/>
    <w:p>
      <w:pPr>
        <w:pStyle w:val="Bibliografia"/>
      </w:pPr>
      <w:r>
        <w:t xml:space="preserve">Carneiro, J. R., Morais, M., &amp; Lurdes Lopes, M. de. (2018). Degradation of polypropylene geotextiles with different chemical stabilisations in marine environments.</w:t>
      </w:r>
      <w:r>
        <w:t xml:space="preserve"> </w:t>
      </w:r>
      <w:r>
        <w:rPr>
          <w:i/>
          <w:iCs/>
        </w:rPr>
        <w:t xml:space="preserve">Construction and Building Materials</w:t>
      </w:r>
      <w:r>
        <w:t xml:space="preserve">,</w:t>
      </w:r>
      <w:r>
        <w:t xml:space="preserve"> </w:t>
      </w:r>
      <w:r>
        <w:rPr>
          <w:i/>
          <w:iCs/>
        </w:rPr>
        <w:t xml:space="preserve">165</w:t>
      </w:r>
      <w:r>
        <w:t xml:space="preserve">, 877–886.</w:t>
      </w:r>
      <w:r>
        <w:t xml:space="preserve"> </w:t>
      </w:r>
      <w:hyperlink r:id="rId89">
        <w:r>
          <w:rPr>
            <w:rStyle w:val="Hyperlink"/>
          </w:rPr>
          <w:t xml:space="preserve">https://doi.org/10.1016/J.CONBUILDMAT.2018.01.067</w:t>
        </w:r>
      </w:hyperlink>
    </w:p>
    <w:bookmarkEnd w:id="90"/>
    <w:bookmarkStart w:id="92" w:name="ref-Carvalho2014"/>
    <w:p>
      <w:pPr>
        <w:pStyle w:val="Bibliografia"/>
      </w:pPr>
      <w:r>
        <w:t xml:space="preserve">Carvalho, R., Fangueiro, R., &amp; Neves, J. (2014). Durability of Natural Fibers for Geotechnical Engineering.</w:t>
      </w:r>
      <w:r>
        <w:t xml:space="preserve"> </w:t>
      </w:r>
      <w:r>
        <w:rPr>
          <w:i/>
          <w:iCs/>
        </w:rPr>
        <w:t xml:space="preserve">Key Engineering Materials</w:t>
      </w:r>
      <w:r>
        <w:t xml:space="preserve">,</w:t>
      </w:r>
      <w:r>
        <w:t xml:space="preserve"> </w:t>
      </w:r>
      <w:r>
        <w:rPr>
          <w:i/>
          <w:iCs/>
        </w:rPr>
        <w:t xml:space="preserve">634</w:t>
      </w:r>
      <w:r>
        <w:t xml:space="preserve">, 447–454.</w:t>
      </w:r>
      <w:r>
        <w:t xml:space="preserve"> </w:t>
      </w:r>
      <w:hyperlink r:id="rId91">
        <w:r>
          <w:rPr>
            <w:rStyle w:val="Hyperlink"/>
          </w:rPr>
          <w:t xml:space="preserve">https://doi.org/10.4028/www.scientific.net/KEM.634.447</w:t>
        </w:r>
      </w:hyperlink>
    </w:p>
    <w:bookmarkEnd w:id="92"/>
    <w:bookmarkStart w:id="94" w:name="ref-Chakravarthy2021"/>
    <w:p>
      <w:pPr>
        <w:pStyle w:val="Bibliografia"/>
      </w:pPr>
      <w:r>
        <w:t xml:space="preserve">Chakravarthy, G. S., GuhaRay, A., &amp; Kar, A. (2021). Experimental Investigations on Strength and Durability of Alkali-Activated Binder-Treated Natural Jute Geotextile.</w:t>
      </w:r>
      <w:r>
        <w:t xml:space="preserve"> </w:t>
      </w:r>
      <w:r>
        <w:rPr>
          <w:i/>
          <w:iCs/>
        </w:rPr>
        <w:t xml:space="preserve">International Journal of Geosynthetics and Ground Engineering</w:t>
      </w:r>
      <w:r>
        <w:t xml:space="preserve">,</w:t>
      </w:r>
      <w:r>
        <w:t xml:space="preserve"> </w:t>
      </w:r>
      <w:r>
        <w:rPr>
          <w:i/>
          <w:iCs/>
        </w:rPr>
        <w:t xml:space="preserve">7</w:t>
      </w:r>
      <w:r>
        <w:t xml:space="preserve">, 1–18.</w:t>
      </w:r>
      <w:r>
        <w:t xml:space="preserve"> </w:t>
      </w:r>
      <w:hyperlink r:id="rId93">
        <w:r>
          <w:rPr>
            <w:rStyle w:val="Hyperlink"/>
          </w:rPr>
          <w:t xml:space="preserve">https://doi.org/10.1007/S40891-021-00341-3</w:t>
        </w:r>
      </w:hyperlink>
    </w:p>
    <w:bookmarkEnd w:id="94"/>
    <w:bookmarkStart w:id="96" w:name="ref-Cholewa2019"/>
    <w:p>
      <w:pPr>
        <w:pStyle w:val="Bibliografia"/>
      </w:pPr>
      <w:r>
        <w:t xml:space="preserve">Cholewa, M., &amp; Kutia, T. (2019). ANALYSIS OF PUNCTURE RESISTANCE OF GEOMEMBRANES AND GEOTEXTILES.</w:t>
      </w:r>
      <w:r>
        <w:t xml:space="preserve"> </w:t>
      </w:r>
      <w:r>
        <w:rPr>
          <w:i/>
          <w:iCs/>
        </w:rPr>
        <w:t xml:space="preserve">Acta Scientiarum Polonorum Formatio Circumiectus</w:t>
      </w:r>
      <w:r>
        <w:t xml:space="preserve">,</w:t>
      </w:r>
      <w:r>
        <w:t xml:space="preserve"> </w:t>
      </w:r>
      <w:r>
        <w:rPr>
          <w:i/>
          <w:iCs/>
        </w:rPr>
        <w:t xml:space="preserve">18</w:t>
      </w:r>
      <w:r>
        <w:t xml:space="preserve">, 5–11.</w:t>
      </w:r>
      <w:r>
        <w:t xml:space="preserve"> </w:t>
      </w:r>
      <w:hyperlink r:id="rId95">
        <w:r>
          <w:rPr>
            <w:rStyle w:val="Hyperlink"/>
          </w:rPr>
          <w:t xml:space="preserve">https://doi.org/10.15576/ASP.FC/2019.18.4.5</w:t>
        </w:r>
      </w:hyperlink>
    </w:p>
    <w:bookmarkEnd w:id="96"/>
    <w:bookmarkStart w:id="98" w:name="ref-Curtin2000"/>
    <w:p>
      <w:pPr>
        <w:pStyle w:val="Bibliografia"/>
      </w:pPr>
      <w:r>
        <w:t xml:space="preserve">Curtin, W. A. (2000). Tensile Strength of Fiber-Reinforced Composites: III. Beyond the Traditional Weibull Model for Fiber Strengths.</w:t>
      </w:r>
      <w:r>
        <w:t xml:space="preserve"> </w:t>
      </w:r>
      <w:r>
        <w:rPr>
          <w:i/>
          <w:iCs/>
        </w:rPr>
        <w:t xml:space="preserve">Journal of Composite Materials</w:t>
      </w:r>
      <w:r>
        <w:t xml:space="preserve">,</w:t>
      </w:r>
      <w:r>
        <w:t xml:space="preserve"> </w:t>
      </w:r>
      <w:r>
        <w:rPr>
          <w:i/>
          <w:iCs/>
        </w:rPr>
        <w:t xml:space="preserve">34</w:t>
      </w:r>
      <w:r>
        <w:t xml:space="preserve">(15), 1301–1332.</w:t>
      </w:r>
      <w:r>
        <w:t xml:space="preserve"> </w:t>
      </w:r>
      <w:hyperlink r:id="rId97">
        <w:r>
          <w:rPr>
            <w:rStyle w:val="Hyperlink"/>
          </w:rPr>
          <w:t xml:space="preserve">https://doi.org/10.1177/002199830003401503</w:t>
        </w:r>
      </w:hyperlink>
    </w:p>
    <w:bookmarkEnd w:id="98"/>
    <w:bookmarkStart w:id="100" w:name="ref-Dashtban2010"/>
    <w:p>
      <w:pPr>
        <w:pStyle w:val="Bibliografia"/>
      </w:pPr>
      <w:r>
        <w:t xml:space="preserve">Dashtban, M., Maki, M., Leung, K. T., Mo, C., &amp; Qin, W. (2010). Cellulase activities in biomass conversion: measurement methods and comparison.</w:t>
      </w:r>
      <w:r>
        <w:t xml:space="preserve"> </w:t>
      </w:r>
      <w:r>
        <w:rPr>
          <w:i/>
          <w:iCs/>
        </w:rPr>
        <w:t xml:space="preserve">Critical Reviews in Biotechnology</w:t>
      </w:r>
      <w:r>
        <w:t xml:space="preserve">,</w:t>
      </w:r>
      <w:r>
        <w:t xml:space="preserve"> </w:t>
      </w:r>
      <w:r>
        <w:rPr>
          <w:i/>
          <w:iCs/>
        </w:rPr>
        <w:t xml:space="preserve">30</w:t>
      </w:r>
      <w:r>
        <w:t xml:space="preserve">(4), 302–309.</w:t>
      </w:r>
      <w:r>
        <w:t xml:space="preserve"> </w:t>
      </w:r>
      <w:hyperlink r:id="rId99">
        <w:r>
          <w:rPr>
            <w:rStyle w:val="Hyperlink"/>
          </w:rPr>
          <w:t xml:space="preserve">https://doi.org/10.3109/07388551.2010.490938</w:t>
        </w:r>
      </w:hyperlink>
    </w:p>
    <w:bookmarkEnd w:id="100"/>
    <w:bookmarkStart w:id="101" w:name="ref-Datta2024"/>
    <w:p>
      <w:pPr>
        <w:pStyle w:val="Bibliografia"/>
      </w:pPr>
      <w:r>
        <w:t xml:space="preserve">Datta, R. (2024). Enzymatic degradation of cellulose in soil: A review.</w:t>
      </w:r>
      <w:r>
        <w:t xml:space="preserve"> </w:t>
      </w:r>
      <w:r>
        <w:rPr>
          <w:i/>
          <w:iCs/>
        </w:rPr>
        <w:t xml:space="preserve">Heliyon</w:t>
      </w:r>
      <w:r>
        <w:t xml:space="preserve">,</w:t>
      </w:r>
      <w:r>
        <w:t xml:space="preserve"> </w:t>
      </w:r>
      <w:r>
        <w:rPr>
          <w:i/>
          <w:iCs/>
        </w:rPr>
        <w:t xml:space="preserve">10</w:t>
      </w:r>
      <w:r>
        <w:t xml:space="preserve">(1), e23453.</w:t>
      </w:r>
    </w:p>
    <w:bookmarkEnd w:id="101"/>
    <w:bookmarkStart w:id="103" w:name="ref-Depuydt2017"/>
    <w:p>
      <w:pPr>
        <w:pStyle w:val="Bibliografia"/>
      </w:pPr>
      <w:r>
        <w:t xml:space="preserve">Depuydt, D., Hendrickx, K., Biesmans, W., Ivens, J., &amp; Van Vuure, A. W. (2017). Digital image correlation as a strain measurement technique for fibre tensile tests.</w:t>
      </w:r>
      <w:r>
        <w:t xml:space="preserve"> </w:t>
      </w:r>
      <w:r>
        <w:rPr>
          <w:i/>
          <w:iCs/>
        </w:rPr>
        <w:t xml:space="preserve">Composites Part A: Applied Science and Manufacturing</w:t>
      </w:r>
      <w:r>
        <w:t xml:space="preserve">,</w:t>
      </w:r>
      <w:r>
        <w:t xml:space="preserve"> </w:t>
      </w:r>
      <w:r>
        <w:rPr>
          <w:i/>
          <w:iCs/>
        </w:rPr>
        <w:t xml:space="preserve">99</w:t>
      </w:r>
      <w:r>
        <w:t xml:space="preserve">, 76–83.</w:t>
      </w:r>
      <w:r>
        <w:t xml:space="preserve"> </w:t>
      </w:r>
      <w:hyperlink r:id="rId102">
        <w:r>
          <w:rPr>
            <w:rStyle w:val="Hyperlink"/>
          </w:rPr>
          <w:t xml:space="preserve">https://doi.org/10.1016/j.compositesa.2017.03.035</w:t>
        </w:r>
      </w:hyperlink>
    </w:p>
    <w:bookmarkEnd w:id="103"/>
    <w:bookmarkStart w:id="104" w:name="ref-DeVries2002"/>
    <w:p>
      <w:pPr>
        <w:pStyle w:val="Bibliografia"/>
      </w:pPr>
      <w:r>
        <w:t xml:space="preserve">DeVries, K. L., Adams, D. O., &amp; Dillard, D. A. (2002).</w:t>
      </w:r>
      <w:r>
        <w:t xml:space="preserve"> </w:t>
      </w:r>
      <w:r>
        <w:rPr>
          <w:i/>
          <w:iCs/>
        </w:rPr>
        <w:t xml:space="preserve">Mechanical testing of adhesive joints</w:t>
      </w:r>
      <w:r>
        <w:t xml:space="preserve">. 193–234.</w:t>
      </w:r>
    </w:p>
    <w:bookmarkEnd w:id="104"/>
    <w:bookmarkStart w:id="106" w:name="ref-Donaldson2013"/>
    <w:p>
      <w:pPr>
        <w:pStyle w:val="Bibliografia"/>
      </w:pPr>
      <w:r>
        <w:t xml:space="preserve">Donaldson, L. A., &amp; Radotic, K. (2013). Fluorescence lifetime imaging of lignin autofluorescence in normal and compression wood.</w:t>
      </w:r>
      <w:r>
        <w:t xml:space="preserve"> </w:t>
      </w:r>
      <w:r>
        <w:rPr>
          <w:i/>
          <w:iCs/>
        </w:rPr>
        <w:t xml:space="preserve">Journal of Microscopy</w:t>
      </w:r>
      <w:r>
        <w:t xml:space="preserve">,</w:t>
      </w:r>
      <w:r>
        <w:t xml:space="preserve"> </w:t>
      </w:r>
      <w:r>
        <w:rPr>
          <w:i/>
          <w:iCs/>
        </w:rPr>
        <w:t xml:space="preserve">251</w:t>
      </w:r>
      <w:r>
        <w:t xml:space="preserve">(2), 178–187.</w:t>
      </w:r>
      <w:r>
        <w:t xml:space="preserve"> </w:t>
      </w:r>
      <w:hyperlink r:id="rId105">
        <w:r>
          <w:rPr>
            <w:rStyle w:val="Hyperlink"/>
          </w:rPr>
          <w:t xml:space="preserve">https://doi.org/10.1111/jmi.12059</w:t>
        </w:r>
      </w:hyperlink>
    </w:p>
    <w:bookmarkEnd w:id="106"/>
    <w:bookmarkStart w:id="108" w:name="ref-Faix1991"/>
    <w:p>
      <w:pPr>
        <w:pStyle w:val="Bibliografia"/>
      </w:pPr>
      <w:r>
        <w:t xml:space="preserve">Faix, O. (1991). Classification of lignins from different botanical origins by FT-IR spectroscopy.</w:t>
      </w:r>
      <w:r>
        <w:t xml:space="preserve"> </w:t>
      </w:r>
      <w:r>
        <w:rPr>
          <w:i/>
          <w:iCs/>
        </w:rPr>
        <w:t xml:space="preserve">Holzforschung</w:t>
      </w:r>
      <w:r>
        <w:t xml:space="preserve">,</w:t>
      </w:r>
      <w:r>
        <w:t xml:space="preserve"> </w:t>
      </w:r>
      <w:r>
        <w:rPr>
          <w:i/>
          <w:iCs/>
        </w:rPr>
        <w:t xml:space="preserve">45</w:t>
      </w:r>
      <w:r>
        <w:t xml:space="preserve">(Supplement), 21–27.</w:t>
      </w:r>
      <w:r>
        <w:t xml:space="preserve"> </w:t>
      </w:r>
      <w:hyperlink r:id="rId107">
        <w:r>
          <w:rPr>
            <w:rStyle w:val="Hyperlink"/>
          </w:rPr>
          <w:t xml:space="preserve">https://doi.org/10.1515/hfsg.1991.45.s1.21</w:t>
        </w:r>
      </w:hyperlink>
    </w:p>
    <w:bookmarkEnd w:id="108"/>
    <w:bookmarkStart w:id="109" w:name="ref-Flanagan2007"/>
    <w:p>
      <w:pPr>
        <w:pStyle w:val="Bibliografia"/>
      </w:pPr>
      <w:r>
        <w:t xml:space="preserve">Flanagan, D. C., Gilley, J. E., &amp; Franti, T. G. (2007). Water</w:t>
      </w:r>
      <w:r>
        <w:t xml:space="preserve"> </w:t>
      </w:r>
      <w:r>
        <w:t xml:space="preserve">E</w:t>
      </w:r>
      <w:r>
        <w:t xml:space="preserve">rosion</w:t>
      </w:r>
      <w:r>
        <w:t xml:space="preserve"> </w:t>
      </w:r>
      <w:r>
        <w:t xml:space="preserve">P</w:t>
      </w:r>
      <w:r>
        <w:t xml:space="preserve">rediction</w:t>
      </w:r>
      <w:r>
        <w:t xml:space="preserve"> </w:t>
      </w:r>
      <w:r>
        <w:t xml:space="preserve">P</w:t>
      </w:r>
      <w:r>
        <w:t xml:space="preserve">roject (</w:t>
      </w:r>
      <w:r>
        <w:t xml:space="preserve">WEPP</w:t>
      </w:r>
      <w:r>
        <w:t xml:space="preserve">):</w:t>
      </w:r>
      <w:r>
        <w:t xml:space="preserve"> </w:t>
      </w:r>
      <w:r>
        <w:t xml:space="preserve">D</w:t>
      </w:r>
      <w:r>
        <w:t xml:space="preserve">evelopment history, model capabilities, and future enhancements.</w:t>
      </w:r>
      <w:r>
        <w:t xml:space="preserve"> </w:t>
      </w:r>
      <w:r>
        <w:rPr>
          <w:i/>
          <w:iCs/>
        </w:rPr>
        <w:t xml:space="preserve">Transactions of the ASABE</w:t>
      </w:r>
      <w:r>
        <w:t xml:space="preserve">,</w:t>
      </w:r>
      <w:r>
        <w:t xml:space="preserve"> </w:t>
      </w:r>
      <w:r>
        <w:rPr>
          <w:i/>
          <w:iCs/>
        </w:rPr>
        <w:t xml:space="preserve">50</w:t>
      </w:r>
      <w:r>
        <w:t xml:space="preserve">(5), 1603–1612.</w:t>
      </w:r>
    </w:p>
    <w:bookmarkEnd w:id="109"/>
    <w:bookmarkStart w:id="111" w:name="ref-Fontes2021"/>
    <w:p>
      <w:pPr>
        <w:pStyle w:val="Bibliografia"/>
      </w:pPr>
      <w:r>
        <w:t xml:space="preserve">Fontes, C. S., Holanda, F. S. R., Santos, L. D. V., De Melo, J. C. R., Boge, G. M., &amp; Sussuchi, E. M. (2021). Resistance of the Fiber-derived geotextile from Typha domingensis under field exposure.</w:t>
      </w:r>
      <w:r>
        <w:t xml:space="preserve"> </w:t>
      </w:r>
      <w:r>
        <w:rPr>
          <w:i/>
          <w:iCs/>
        </w:rPr>
        <w:t xml:space="preserve">Geotextiles and Geomembranes</w:t>
      </w:r>
      <w:r>
        <w:t xml:space="preserve">.</w:t>
      </w:r>
      <w:r>
        <w:t xml:space="preserve"> </w:t>
      </w:r>
      <w:hyperlink r:id="rId110">
        <w:r>
          <w:rPr>
            <w:rStyle w:val="Hyperlink"/>
          </w:rPr>
          <w:t xml:space="preserve">https://doi.org/10.1038/s41598-024-56978-3</w:t>
        </w:r>
      </w:hyperlink>
    </w:p>
    <w:bookmarkEnd w:id="111"/>
    <w:bookmarkStart w:id="113" w:name="ref-Franco2022"/>
    <w:p>
      <w:pPr>
        <w:pStyle w:val="Bibliografia"/>
      </w:pPr>
      <w:r>
        <w:t xml:space="preserve">Franco, Y. B., Valentin, C. A., Kobelnik, M., Silva, J. L. da, Ribeiro, C. A., &amp; Luz, M. P. da. (2022). Accelerated Aging Ultraviolet of a PET Nonwoven Geotextile and Thermoanalytical Evaluation.</w:t>
      </w:r>
      <w:r>
        <w:t xml:space="preserve"> </w:t>
      </w:r>
      <w:r>
        <w:rPr>
          <w:i/>
          <w:iCs/>
        </w:rPr>
        <w:t xml:space="preserve">Materials</w:t>
      </w:r>
      <w:r>
        <w:t xml:space="preserve">,</w:t>
      </w:r>
      <w:r>
        <w:t xml:space="preserve"> </w:t>
      </w:r>
      <w:r>
        <w:rPr>
          <w:i/>
          <w:iCs/>
        </w:rPr>
        <w:t xml:space="preserve">15</w:t>
      </w:r>
      <w:r>
        <w:t xml:space="preserve">, 4157.</w:t>
      </w:r>
      <w:r>
        <w:t xml:space="preserve"> </w:t>
      </w:r>
      <w:hyperlink r:id="rId112">
        <w:r>
          <w:rPr>
            <w:rStyle w:val="Hyperlink"/>
          </w:rPr>
          <w:t xml:space="preserve">https://doi.org/10.3390/ma15124157</w:t>
        </w:r>
      </w:hyperlink>
    </w:p>
    <w:bookmarkEnd w:id="113"/>
    <w:bookmarkStart w:id="114" w:name="ref-Arnold2007"/>
    <w:p>
      <w:pPr>
        <w:pStyle w:val="Bibliografia"/>
      </w:pPr>
      <w:r>
        <w:t xml:space="preserve">Gassman, P. W., Reyes, M. R., Green, C. H., &amp; Arnold, J. G. (2007). The soil and water assessment tool: historical development, applications, and future research directions.</w:t>
      </w:r>
      <w:r>
        <w:t xml:space="preserve"> </w:t>
      </w:r>
      <w:r>
        <w:rPr>
          <w:i/>
          <w:iCs/>
        </w:rPr>
        <w:t xml:space="preserve">Transactions of the ASABE</w:t>
      </w:r>
      <w:r>
        <w:t xml:space="preserve">,</w:t>
      </w:r>
      <w:r>
        <w:t xml:space="preserve"> </w:t>
      </w:r>
      <w:r>
        <w:rPr>
          <w:i/>
          <w:iCs/>
        </w:rPr>
        <w:t xml:space="preserve">50</w:t>
      </w:r>
      <w:r>
        <w:t xml:space="preserve">(4), 1211–1250.</w:t>
      </w:r>
    </w:p>
    <w:bookmarkEnd w:id="114"/>
    <w:bookmarkStart w:id="116" w:name="ref-Ghose1987"/>
    <w:p>
      <w:pPr>
        <w:pStyle w:val="Bibliografia"/>
      </w:pPr>
      <w:r>
        <w:t xml:space="preserve">Ghose, T. K. (1987). Measurement of cellulase activities.</w:t>
      </w:r>
      <w:r>
        <w:t xml:space="preserve"> </w:t>
      </w:r>
      <w:r>
        <w:rPr>
          <w:i/>
          <w:iCs/>
        </w:rPr>
        <w:t xml:space="preserve">Pure and Applied Chemistry</w:t>
      </w:r>
      <w:r>
        <w:t xml:space="preserve">,</w:t>
      </w:r>
      <w:r>
        <w:t xml:space="preserve"> </w:t>
      </w:r>
      <w:r>
        <w:rPr>
          <w:i/>
          <w:iCs/>
        </w:rPr>
        <w:t xml:space="preserve">59</w:t>
      </w:r>
      <w:r>
        <w:t xml:space="preserve">(2), 257–268.</w:t>
      </w:r>
      <w:r>
        <w:t xml:space="preserve"> </w:t>
      </w:r>
      <w:hyperlink r:id="rId115">
        <w:r>
          <w:rPr>
            <w:rStyle w:val="Hyperlink"/>
          </w:rPr>
          <w:t xml:space="preserve">https://doi.org/10.1351/pac198759020257</w:t>
        </w:r>
      </w:hyperlink>
    </w:p>
    <w:bookmarkEnd w:id="116"/>
    <w:bookmarkStart w:id="118" w:name="ref-Gottenbos2003"/>
    <w:p>
      <w:pPr>
        <w:pStyle w:val="Bibliografia"/>
      </w:pPr>
      <w:r>
        <w:t xml:space="preserve">Gottenbos, B., Grijpma, D. W., Mei, H. C. van der, Feijen, J., &amp; Nieuwenhuis, P. (2003). In vitro and in vivo evaluation of bacterial adhesion to biomaterial surfaces: influence of surface properties and coatings.</w:t>
      </w:r>
      <w:r>
        <w:t xml:space="preserve"> </w:t>
      </w:r>
      <w:r>
        <w:rPr>
          <w:i/>
          <w:iCs/>
        </w:rPr>
        <w:t xml:space="preserve">Biomaterials</w:t>
      </w:r>
      <w:r>
        <w:t xml:space="preserve">,</w:t>
      </w:r>
      <w:r>
        <w:t xml:space="preserve"> </w:t>
      </w:r>
      <w:r>
        <w:rPr>
          <w:i/>
          <w:iCs/>
        </w:rPr>
        <w:t xml:space="preserve">24</w:t>
      </w:r>
      <w:r>
        <w:t xml:space="preserve">, 2707–2717.</w:t>
      </w:r>
      <w:r>
        <w:t xml:space="preserve"> </w:t>
      </w:r>
      <w:hyperlink r:id="rId117">
        <w:r>
          <w:rPr>
            <w:rStyle w:val="Hyperlink"/>
          </w:rPr>
          <w:t xml:space="preserve">https://doi.org/10.1016/S0142-9612(03)00083-8</w:t>
        </w:r>
      </w:hyperlink>
    </w:p>
    <w:bookmarkEnd w:id="118"/>
    <w:bookmarkStart w:id="119" w:name="ref-Gray1996"/>
    <w:p>
      <w:pPr>
        <w:pStyle w:val="Bibliografia"/>
      </w:pPr>
      <w:r>
        <w:t xml:space="preserve">Gray, D. H., &amp; Sotir, R. B. (1996).</w:t>
      </w:r>
      <w:r>
        <w:t xml:space="preserve"> </w:t>
      </w:r>
      <w:r>
        <w:rPr>
          <w:i/>
          <w:iCs/>
        </w:rPr>
        <w:t xml:space="preserve">Biotechnical and Soil Bioengineering Slope Stabilization: A Practical Guide for Erosion Control</w:t>
      </w:r>
      <w:r>
        <w:t xml:space="preserve">. John Wiley &amp; Sons.</w:t>
      </w:r>
    </w:p>
    <w:bookmarkEnd w:id="119"/>
    <w:bookmarkStart w:id="120" w:name="ref-Grgas2023"/>
    <w:p>
      <w:pPr>
        <w:pStyle w:val="Bibliografia"/>
      </w:pPr>
      <w:r>
        <w:t xml:space="preserve">Grgas, D., Rukavina, M., Bešlo, D., Štefanac, T., Crnek, V., Šikić, T., Habuda-Stanić, M., &amp; Landeka Dragičević, T. (2023). The bacterial degradation of lignin—a review.</w:t>
      </w:r>
      <w:r>
        <w:t xml:space="preserve"> </w:t>
      </w:r>
      <w:r>
        <w:rPr>
          <w:i/>
          <w:iCs/>
        </w:rPr>
        <w:t xml:space="preserve">Water</w:t>
      </w:r>
      <w:r>
        <w:t xml:space="preserve">,</w:t>
      </w:r>
      <w:r>
        <w:t xml:space="preserve"> </w:t>
      </w:r>
      <w:r>
        <w:rPr>
          <w:i/>
          <w:iCs/>
        </w:rPr>
        <w:t xml:space="preserve">15</w:t>
      </w:r>
      <w:r>
        <w:t xml:space="preserve">(7), 1272.</w:t>
      </w:r>
    </w:p>
    <w:bookmarkEnd w:id="120"/>
    <w:bookmarkStart w:id="122" w:name="ref-Haldan2022"/>
    <w:p>
      <w:pPr>
        <w:pStyle w:val="Bibliografia"/>
      </w:pPr>
      <w:r>
        <w:t xml:space="preserve">Haldan, K., Köhn, N., Hornig, A., Wichmann, S., &amp; Kreyling, J. (2022). Typha for paludiculture—Suitable water table and nutrient conditions for potential biomass utilization explored in mesocosm gradient experiments.</w:t>
      </w:r>
      <w:r>
        <w:t xml:space="preserve"> </w:t>
      </w:r>
      <w:r>
        <w:rPr>
          <w:i/>
          <w:iCs/>
        </w:rPr>
        <w:t xml:space="preserve">Ecology and Evolution</w:t>
      </w:r>
      <w:r>
        <w:t xml:space="preserve">,</w:t>
      </w:r>
      <w:r>
        <w:t xml:space="preserve"> </w:t>
      </w:r>
      <w:r>
        <w:rPr>
          <w:i/>
          <w:iCs/>
        </w:rPr>
        <w:t xml:space="preserve">12</w:t>
      </w:r>
      <w:r>
        <w:t xml:space="preserve">.</w:t>
      </w:r>
      <w:r>
        <w:t xml:space="preserve"> </w:t>
      </w:r>
      <w:hyperlink r:id="rId121">
        <w:r>
          <w:rPr>
            <w:rStyle w:val="Hyperlink"/>
          </w:rPr>
          <w:t xml:space="preserve">https://doi.org/10.1002/ece3.9191</w:t>
        </w:r>
      </w:hyperlink>
    </w:p>
    <w:bookmarkEnd w:id="122"/>
    <w:bookmarkStart w:id="124" w:name="ref-Hatakka2011"/>
    <w:p>
      <w:pPr>
        <w:pStyle w:val="Bibliografia"/>
      </w:pPr>
      <w:r>
        <w:t xml:space="preserve">Hatakka, A., &amp; Hammel, K. E. (2011). Fungal biodegradation of lignocelluloses.</w:t>
      </w:r>
      <w:r>
        <w:t xml:space="preserve"> </w:t>
      </w:r>
      <w:r>
        <w:rPr>
          <w:i/>
          <w:iCs/>
        </w:rPr>
        <w:t xml:space="preserve">In: Hofrichter, M. (Ed.) The Mycota II: Genetics and Biotechnology</w:t>
      </w:r>
      <w:r>
        <w:t xml:space="preserve">, 397–415.</w:t>
      </w:r>
      <w:r>
        <w:t xml:space="preserve"> </w:t>
      </w:r>
      <w:hyperlink r:id="rId123">
        <w:r>
          <w:rPr>
            <w:rStyle w:val="Hyperlink"/>
          </w:rPr>
          <w:t xml:space="preserve">https://doi.org/10.1007/978-3-642-20167-8_20</w:t>
        </w:r>
      </w:hyperlink>
    </w:p>
    <w:bookmarkEnd w:id="124"/>
    <w:bookmarkStart w:id="126" w:name="ref-Holanda2025"/>
    <w:p>
      <w:pPr>
        <w:pStyle w:val="Bibliografia"/>
      </w:pPr>
      <w:r>
        <w:t xml:space="preserve">Holanda, F. S. R., Santos, L. D. V., Sussuchi, E. M., Pedrotti, A., Santos, J. F., Silva, E. G., Fontes, C. S., &amp; Araujo Filho, R. N. (2025a). Resistance of</w:t>
      </w:r>
      <w:r>
        <w:t xml:space="preserve"> </w:t>
      </w:r>
      <w:r>
        <w:rPr>
          <w:i/>
          <w:iCs/>
        </w:rPr>
        <w:t xml:space="preserve">Syagrus coronata</w:t>
      </w:r>
      <w:r>
        <w:t xml:space="preserve"> </w:t>
      </w:r>
      <w:r>
        <w:t xml:space="preserve">fibers in waterproof-coated natural geotextiles under environmental degradation.</w:t>
      </w:r>
      <w:r>
        <w:t xml:space="preserve"> </w:t>
      </w:r>
      <w:r>
        <w:rPr>
          <w:i/>
          <w:iCs/>
        </w:rPr>
        <w:t xml:space="preserve">Frontiers in Sustainability</w:t>
      </w:r>
      <w:r>
        <w:t xml:space="preserve">,</w:t>
      </w:r>
      <w:r>
        <w:t xml:space="preserve"> </w:t>
      </w:r>
      <w:r>
        <w:rPr>
          <w:i/>
          <w:iCs/>
        </w:rPr>
        <w:t xml:space="preserve">6</w:t>
      </w:r>
      <w:r>
        <w:t xml:space="preserve">, 1552255.</w:t>
      </w:r>
      <w:r>
        <w:t xml:space="preserve"> </w:t>
      </w:r>
      <w:hyperlink r:id="rId125">
        <w:r>
          <w:rPr>
            <w:rStyle w:val="Hyperlink"/>
          </w:rPr>
          <w:t xml:space="preserve">https://doi.org/10.3389/frsus.2025.1552255</w:t>
        </w:r>
      </w:hyperlink>
    </w:p>
    <w:bookmarkEnd w:id="126"/>
    <w:bookmarkStart w:id="127" w:name="ref-Holanda2021"/>
    <w:p>
      <w:pPr>
        <w:pStyle w:val="Bibliografia"/>
      </w:pPr>
      <w:r>
        <w:t xml:space="preserve">Holanda, F. S. R., Santos, L. D. V., Sussuchi, E. M., Pedrotti, A., Santos, J. F., Silva, E. G., Fontes, C. S., &amp; Araujo Filho, R. N. A. (2025b). Resistance of Syagrus coronata fibers in waterproof-coated natural geotextiles under environmental degradation.</w:t>
      </w:r>
      <w:r>
        <w:t xml:space="preserve"> </w:t>
      </w:r>
      <w:r>
        <w:rPr>
          <w:i/>
          <w:iCs/>
        </w:rPr>
        <w:t xml:space="preserve">Frontiers in Sustainability</w:t>
      </w:r>
      <w:r>
        <w:t xml:space="preserve">.</w:t>
      </w:r>
      <w:r>
        <w:t xml:space="preserve"> </w:t>
      </w:r>
      <w:hyperlink r:id="rId125">
        <w:r>
          <w:rPr>
            <w:rStyle w:val="Hyperlink"/>
          </w:rPr>
          <w:t xml:space="preserve">https://doi.org/10.3389/frsus.2025.1552255</w:t>
        </w:r>
      </w:hyperlink>
    </w:p>
    <w:bookmarkEnd w:id="127"/>
    <w:bookmarkStart w:id="129" w:name="ref-Hubbe2025"/>
    <w:p>
      <w:pPr>
        <w:pStyle w:val="Bibliografia"/>
      </w:pPr>
      <w:r>
        <w:t xml:space="preserve">Hubbe, M. A., Daystar, J. S., Venditti, R. A., Pawlak, J. J., Zambrano, M. C., Barlaz, M., Ankeny, M., &amp; Pires, S. (2025). Biodegradability of cellulose fibers, films, and particles: A Review.</w:t>
      </w:r>
      <w:r>
        <w:t xml:space="preserve"> </w:t>
      </w:r>
      <w:r>
        <w:rPr>
          <w:i/>
          <w:iCs/>
        </w:rPr>
        <w:t xml:space="preserve">BioResources</w:t>
      </w:r>
      <w:r>
        <w:t xml:space="preserve">,</w:t>
      </w:r>
      <w:r>
        <w:t xml:space="preserve"> </w:t>
      </w:r>
      <w:r>
        <w:rPr>
          <w:i/>
          <w:iCs/>
        </w:rPr>
        <w:t xml:space="preserve">20</w:t>
      </w:r>
      <w:r>
        <w:t xml:space="preserve">.</w:t>
      </w:r>
      <w:r>
        <w:t xml:space="preserve"> </w:t>
      </w:r>
      <w:hyperlink r:id="rId128">
        <w:r>
          <w:rPr>
            <w:rStyle w:val="Hyperlink"/>
          </w:rPr>
          <w:t xml:space="preserve">https://doi.org/10.15376/biores.20.1.Hubbe</w:t>
        </w:r>
      </w:hyperlink>
    </w:p>
    <w:bookmarkEnd w:id="129"/>
    <w:bookmarkStart w:id="131" w:name="ref-Ibanez2014"/>
    <w:p>
      <w:pPr>
        <w:pStyle w:val="Bibliografia"/>
      </w:pPr>
      <w:r>
        <w:t xml:space="preserve">Ibáñez, I., &amp; Mccarthy-Neumann, S. (2014). Integrated assessment of the direct and indirect effects of resource gradients on tree species recruitment.</w:t>
      </w:r>
      <w:r>
        <w:t xml:space="preserve"> </w:t>
      </w:r>
      <w:r>
        <w:rPr>
          <w:i/>
          <w:iCs/>
        </w:rPr>
        <w:t xml:space="preserve">Ecology</w:t>
      </w:r>
      <w:r>
        <w:t xml:space="preserve">,</w:t>
      </w:r>
      <w:r>
        <w:t xml:space="preserve"> </w:t>
      </w:r>
      <w:r>
        <w:rPr>
          <w:i/>
          <w:iCs/>
        </w:rPr>
        <w:t xml:space="preserve">95</w:t>
      </w:r>
      <w:r>
        <w:t xml:space="preserve">, 364–375.</w:t>
      </w:r>
      <w:r>
        <w:t xml:space="preserve"> </w:t>
      </w:r>
      <w:hyperlink r:id="rId130">
        <w:r>
          <w:rPr>
            <w:rStyle w:val="Hyperlink"/>
          </w:rPr>
          <w:t xml:space="preserve">https://doi.org/10.1890/13-0685.1</w:t>
        </w:r>
      </w:hyperlink>
    </w:p>
    <w:bookmarkEnd w:id="131"/>
    <w:bookmarkStart w:id="133" w:name="ref-Ikramullah2018"/>
    <w:p>
      <w:pPr>
        <w:pStyle w:val="Bibliografia"/>
      </w:pPr>
      <w:r>
        <w:t xml:space="preserve">Ikramullah, Rizal, S., Thalib, S., &amp; Huzni, S. (2018). Hemicellulose and lignin removal on typha fiber by alkali treatment.</w:t>
      </w:r>
      <w:r>
        <w:t xml:space="preserve"> </w:t>
      </w:r>
      <w:r>
        <w:rPr>
          <w:i/>
          <w:iCs/>
        </w:rPr>
        <w:t xml:space="preserve">IOP Conference Series: Materials Science and Engineering</w:t>
      </w:r>
      <w:r>
        <w:t xml:space="preserve">,</w:t>
      </w:r>
      <w:r>
        <w:t xml:space="preserve"> </w:t>
      </w:r>
      <w:r>
        <w:rPr>
          <w:i/>
          <w:iCs/>
        </w:rPr>
        <w:t xml:space="preserve">352</w:t>
      </w:r>
      <w:r>
        <w:t xml:space="preserve">, 012019.</w:t>
      </w:r>
      <w:r>
        <w:t xml:space="preserve"> </w:t>
      </w:r>
      <w:hyperlink r:id="rId132">
        <w:r>
          <w:rPr>
            <w:rStyle w:val="Hyperlink"/>
          </w:rPr>
          <w:t xml:space="preserve">https://doi.org/10.1088/1757-899X/352/1/012019</w:t>
        </w:r>
      </w:hyperlink>
    </w:p>
    <w:bookmarkEnd w:id="133"/>
    <w:bookmarkStart w:id="135" w:name="ref-Islam2013"/>
    <w:p>
      <w:pPr>
        <w:pStyle w:val="Bibliografia"/>
      </w:pPr>
      <w:r>
        <w:t xml:space="preserve">Islam, M. S., &amp; Shahin, H. M. (2013). Reinforcing effect of vetiver (Vetiveria zizanioides) root in geotechnical structures - experiments and analyses.</w:t>
      </w:r>
      <w:r>
        <w:t xml:space="preserve"> </w:t>
      </w:r>
      <w:r>
        <w:rPr>
          <w:i/>
          <w:iCs/>
        </w:rPr>
        <w:t xml:space="preserve">Geomechanics and Engineering</w:t>
      </w:r>
      <w:r>
        <w:t xml:space="preserve">,</w:t>
      </w:r>
      <w:r>
        <w:t xml:space="preserve"> </w:t>
      </w:r>
      <w:r>
        <w:rPr>
          <w:i/>
          <w:iCs/>
        </w:rPr>
        <w:t xml:space="preserve">5</w:t>
      </w:r>
      <w:r>
        <w:t xml:space="preserve">, 313–329.</w:t>
      </w:r>
      <w:r>
        <w:t xml:space="preserve"> </w:t>
      </w:r>
      <w:hyperlink r:id="rId134">
        <w:r>
          <w:rPr>
            <w:rStyle w:val="Hyperlink"/>
          </w:rPr>
          <w:t xml:space="preserve">https://doi.org/10.12989/gae.2013.5.4.313</w:t>
        </w:r>
      </w:hyperlink>
    </w:p>
    <w:bookmarkEnd w:id="135"/>
    <w:bookmarkStart w:id="137" w:name="ref-Jiao2014"/>
    <w:p>
      <w:pPr>
        <w:pStyle w:val="Bibliografia"/>
      </w:pPr>
      <w:r>
        <w:t xml:space="preserve">Jiao, C., &amp; Xiong, J. (2014). Accessibility and Morphology of Cellulose Fibres Treated with Sodium Hydroxide.</w:t>
      </w:r>
      <w:r>
        <w:t xml:space="preserve"> </w:t>
      </w:r>
      <w:r>
        <w:rPr>
          <w:i/>
          <w:iCs/>
        </w:rPr>
        <w:t xml:space="preserve">BioResources</w:t>
      </w:r>
      <w:r>
        <w:t xml:space="preserve">,</w:t>
      </w:r>
      <w:r>
        <w:t xml:space="preserve"> </w:t>
      </w:r>
      <w:r>
        <w:rPr>
          <w:i/>
          <w:iCs/>
        </w:rPr>
        <w:t xml:space="preserve">9</w:t>
      </w:r>
      <w:r>
        <w:t xml:space="preserve">.</w:t>
      </w:r>
      <w:r>
        <w:t xml:space="preserve"> </w:t>
      </w:r>
      <w:hyperlink r:id="rId136">
        <w:r>
          <w:rPr>
            <w:rStyle w:val="Hyperlink"/>
          </w:rPr>
          <w:t xml:space="preserve">https://doi.org/10.15376/biores.9.4.6504-6513</w:t>
        </w:r>
      </w:hyperlink>
    </w:p>
    <w:bookmarkEnd w:id="137"/>
    <w:bookmarkStart w:id="139" w:name="ref-KaplanMeier1958"/>
    <w:p>
      <w:pPr>
        <w:pStyle w:val="Bibliografia"/>
      </w:pPr>
      <w:r>
        <w:t xml:space="preserve">Kaplan, E. L., &amp; Meier, P. (1958). Nonparametric estimation from incomplete observations.</w:t>
      </w:r>
      <w:r>
        <w:t xml:space="preserve"> </w:t>
      </w:r>
      <w:r>
        <w:rPr>
          <w:i/>
          <w:iCs/>
        </w:rPr>
        <w:t xml:space="preserve">Journal of the American Statistical Association</w:t>
      </w:r>
      <w:r>
        <w:t xml:space="preserve">,</w:t>
      </w:r>
      <w:r>
        <w:t xml:space="preserve"> </w:t>
      </w:r>
      <w:r>
        <w:rPr>
          <w:i/>
          <w:iCs/>
        </w:rPr>
        <w:t xml:space="preserve">53</w:t>
      </w:r>
      <w:r>
        <w:t xml:space="preserve">(282), 457–481.</w:t>
      </w:r>
      <w:r>
        <w:t xml:space="preserve"> </w:t>
      </w:r>
      <w:hyperlink r:id="rId138">
        <w:r>
          <w:rPr>
            <w:rStyle w:val="Hyperlink"/>
          </w:rPr>
          <w:t xml:space="preserve">https://doi.org/10.1080/01621459.1958.10501452</w:t>
        </w:r>
      </w:hyperlink>
    </w:p>
    <w:bookmarkEnd w:id="139"/>
    <w:bookmarkStart w:id="141" w:name="ref-Karim2023"/>
    <w:p>
      <w:pPr>
        <w:pStyle w:val="Bibliografia"/>
      </w:pPr>
      <w:r>
        <w:t xml:space="preserve">Karim, F.-E.-., Islam, Md. R., Ahmed, R., Siddique, A. B., &amp; Begum, H. A. (2023). Extraction and characterization of a newly developed cellulose enriched sustainable natural fiber from the epidermis of Mikania micrantha.</w:t>
      </w:r>
      <w:r>
        <w:t xml:space="preserve"> </w:t>
      </w:r>
      <w:r>
        <w:rPr>
          <w:i/>
          <w:iCs/>
        </w:rPr>
        <w:t xml:space="preserve">Heliyon</w:t>
      </w:r>
      <w:r>
        <w:t xml:space="preserve">,</w:t>
      </w:r>
      <w:r>
        <w:t xml:space="preserve"> </w:t>
      </w:r>
      <w:r>
        <w:rPr>
          <w:i/>
          <w:iCs/>
        </w:rPr>
        <w:t xml:space="preserve">9</w:t>
      </w:r>
      <w:r>
        <w:t xml:space="preserve">, e19360.</w:t>
      </w:r>
      <w:r>
        <w:t xml:space="preserve"> </w:t>
      </w:r>
      <w:hyperlink r:id="rId140">
        <w:r>
          <w:rPr>
            <w:rStyle w:val="Hyperlink"/>
          </w:rPr>
          <w:t xml:space="preserve">https://doi.org/10.1016/j.heliyon.2023.e19360</w:t>
        </w:r>
      </w:hyperlink>
    </w:p>
    <w:bookmarkEnd w:id="141"/>
    <w:bookmarkStart w:id="143" w:name="ref-Khan2025"/>
    <w:p>
      <w:pPr>
        <w:pStyle w:val="Bibliografia"/>
      </w:pPr>
      <w:r>
        <w:t xml:space="preserve">Khan, M., Shafi, M., Raza, J., Ahmed, I. A., Zada, A., Narasimharao, K., &amp; Sun, X. (2025). Mechanistic breakthroughs in affordable adsorbents for heavy metal remediation: An in-depth exploration of next-generation sustainable water purification technologies.</w:t>
      </w:r>
      <w:r>
        <w:t xml:space="preserve"> </w:t>
      </w:r>
      <w:r>
        <w:rPr>
          <w:i/>
          <w:iCs/>
        </w:rPr>
        <w:t xml:space="preserve">Journal of Hazardous Materials Advances</w:t>
      </w:r>
      <w:r>
        <w:t xml:space="preserve">,</w:t>
      </w:r>
      <w:r>
        <w:t xml:space="preserve"> </w:t>
      </w:r>
      <w:r>
        <w:rPr>
          <w:i/>
          <w:iCs/>
        </w:rPr>
        <w:t xml:space="preserve">19</w:t>
      </w:r>
      <w:r>
        <w:t xml:space="preserve">, 100847. https://doi.org/</w:t>
      </w:r>
      <w:hyperlink r:id="rId142">
        <w:r>
          <w:rPr>
            <w:rStyle w:val="Hyperlink"/>
          </w:rPr>
          <w:t xml:space="preserve">https://doi.org/10.1016/j.hazadv.2025.100847</w:t>
        </w:r>
      </w:hyperlink>
    </w:p>
    <w:bookmarkEnd w:id="143"/>
    <w:bookmarkStart w:id="145" w:name="ref-Koistinen2024"/>
    <w:p>
      <w:pPr>
        <w:pStyle w:val="Bibliografia"/>
      </w:pPr>
      <w:r>
        <w:t xml:space="preserve">Koistinen, A., Wang, H., Hiltunen, E., Vuorinen, T., &amp; Maloney, T. (2024). Refinability of mercerized softwood kraft pulp.</w:t>
      </w:r>
      <w:r>
        <w:t xml:space="preserve"> </w:t>
      </w:r>
      <w:r>
        <w:rPr>
          <w:i/>
          <w:iCs/>
        </w:rPr>
        <w:t xml:space="preserve">Cellulose</w:t>
      </w:r>
      <w:r>
        <w:t xml:space="preserve">,</w:t>
      </w:r>
      <w:r>
        <w:t xml:space="preserve"> </w:t>
      </w:r>
      <w:r>
        <w:rPr>
          <w:i/>
          <w:iCs/>
        </w:rPr>
        <w:t xml:space="preserve">31</w:t>
      </w:r>
      <w:r>
        <w:t xml:space="preserve">, 6471–6484.</w:t>
      </w:r>
      <w:r>
        <w:t xml:space="preserve"> </w:t>
      </w:r>
      <w:hyperlink r:id="rId144">
        <w:r>
          <w:rPr>
            <w:rStyle w:val="Hyperlink"/>
          </w:rPr>
          <w:t xml:space="preserve">https://doi.org/10.1007/s10570-024-05999-2</w:t>
        </w:r>
      </w:hyperlink>
    </w:p>
    <w:bookmarkEnd w:id="145"/>
    <w:bookmarkStart w:id="147" w:name="ref-Konvalinkova2015"/>
    <w:p>
      <w:pPr>
        <w:pStyle w:val="Bibliografia"/>
      </w:pPr>
      <w:r>
        <w:t xml:space="preserve">Konvalinková, T., Püschel, D., Janoušková, M., Gryndler, M., &amp; Jansa, J. (2015). Duration and intensity of shade differentially affects mycorrhizal growth- and phosphorus uptake responses of Medicago truncatula.</w:t>
      </w:r>
      <w:r>
        <w:t xml:space="preserve"> </w:t>
      </w:r>
      <w:r>
        <w:rPr>
          <w:i/>
          <w:iCs/>
        </w:rPr>
        <w:t xml:space="preserve">Frontiers in Plant Science</w:t>
      </w:r>
      <w:r>
        <w:t xml:space="preserve">,</w:t>
      </w:r>
      <w:r>
        <w:t xml:space="preserve"> </w:t>
      </w:r>
      <w:r>
        <w:rPr>
          <w:i/>
          <w:iCs/>
        </w:rPr>
        <w:t xml:space="preserve">6</w:t>
      </w:r>
      <w:r>
        <w:t xml:space="preserve">.</w:t>
      </w:r>
      <w:r>
        <w:t xml:space="preserve"> </w:t>
      </w:r>
      <w:hyperlink r:id="rId146">
        <w:r>
          <w:rPr>
            <w:rStyle w:val="Hyperlink"/>
          </w:rPr>
          <w:t xml:space="preserve">https://doi.org/10.3389/fpls.2015.00065</w:t>
        </w:r>
      </w:hyperlink>
    </w:p>
    <w:bookmarkEnd w:id="147"/>
    <w:bookmarkStart w:id="148" w:name="ref-Kumar2018"/>
    <w:p>
      <w:pPr>
        <w:pStyle w:val="Bibliografia"/>
      </w:pPr>
      <w:r>
        <w:t xml:space="preserve">Kumar, N., &amp; Das, D. (2018). Nonwoven geotextiles from nettle and poly (lactic acid) fibers for slope stabilization using bioengineering approach.</w:t>
      </w:r>
      <w:r>
        <w:t xml:space="preserve"> </w:t>
      </w:r>
      <w:r>
        <w:rPr>
          <w:i/>
          <w:iCs/>
        </w:rPr>
        <w:t xml:space="preserve">Geotextiles and Geomembranes</w:t>
      </w:r>
      <w:r>
        <w:t xml:space="preserve">,</w:t>
      </w:r>
      <w:r>
        <w:t xml:space="preserve"> </w:t>
      </w:r>
      <w:r>
        <w:rPr>
          <w:i/>
          <w:iCs/>
        </w:rPr>
        <w:t xml:space="preserve">46</w:t>
      </w:r>
      <w:r>
        <w:t xml:space="preserve">(2), 190–199.</w:t>
      </w:r>
    </w:p>
    <w:bookmarkEnd w:id="148"/>
    <w:bookmarkStart w:id="149" w:name="ref-Kumar2022"/>
    <w:p>
      <w:pPr>
        <w:pStyle w:val="Bibliografia"/>
      </w:pPr>
      <w:r>
        <w:t xml:space="preserve">Kumar, S., &amp; Saha, A. (2022). Effects of stacking sequence of pineapple leaf-flax reinforced hybrid composite laminates on mechanical characterization and moisture resistant properties.</w:t>
      </w:r>
      <w:r>
        <w:t xml:space="preserve"> </w:t>
      </w:r>
      <w:r>
        <w:rPr>
          <w:i/>
          <w:iCs/>
        </w:rPr>
        <w:t xml:space="preserve">Proceedings of the Institution of Mechanical Engineers, Part L: Journal of Materials: Design and Applications</w:t>
      </w:r>
      <w:r>
        <w:t xml:space="preserve">,</w:t>
      </w:r>
      <w:r>
        <w:t xml:space="preserve"> </w:t>
      </w:r>
      <w:r>
        <w:rPr>
          <w:i/>
          <w:iCs/>
        </w:rPr>
        <w:t xml:space="preserve">236</w:t>
      </w:r>
      <w:r>
        <w:t xml:space="preserve">(1-2), 3–15.</w:t>
      </w:r>
    </w:p>
    <w:bookmarkEnd w:id="149"/>
    <w:bookmarkStart w:id="151" w:name="ref-Lammel2015"/>
    <w:p>
      <w:pPr>
        <w:pStyle w:val="Bibliografia"/>
      </w:pPr>
      <w:r>
        <w:t xml:space="preserve">Lammel, D. R., Cruz, L. M., Mescolotti, D., Stürmer, S. L., &amp; Cardoso, E. J. B. N. (2015). Woody Mimosa species are nodulated by Burkholderia in ombrophylous forest soils and their symbioses are enhanced by arbuscular mycorrhizal fungi (AMF).</w:t>
      </w:r>
      <w:r>
        <w:t xml:space="preserve"> </w:t>
      </w:r>
      <w:r>
        <w:rPr>
          <w:i/>
          <w:iCs/>
        </w:rPr>
        <w:t xml:space="preserve">Plant and Soil</w:t>
      </w:r>
      <w:r>
        <w:t xml:space="preserve">,</w:t>
      </w:r>
      <w:r>
        <w:t xml:space="preserve"> </w:t>
      </w:r>
      <w:r>
        <w:rPr>
          <w:i/>
          <w:iCs/>
        </w:rPr>
        <w:t xml:space="preserve">393</w:t>
      </w:r>
      <w:r>
        <w:t xml:space="preserve">, 123–135.</w:t>
      </w:r>
      <w:r>
        <w:t xml:space="preserve"> </w:t>
      </w:r>
      <w:hyperlink r:id="rId150">
        <w:r>
          <w:rPr>
            <w:rStyle w:val="Hyperlink"/>
          </w:rPr>
          <w:t xml:space="preserve">https://doi.org/10.1007/s11104-015-2470-0</w:t>
        </w:r>
      </w:hyperlink>
    </w:p>
    <w:bookmarkEnd w:id="151"/>
    <w:bookmarkStart w:id="153" w:name="ref-Leng2020_TGA_PKM"/>
    <w:p>
      <w:pPr>
        <w:pStyle w:val="Bibliografia"/>
      </w:pPr>
      <w:r>
        <w:t xml:space="preserve">Leng, L. et al.</w:t>
      </w:r>
      <w:r>
        <w:t xml:space="preserve"> (2020). Determination of Hemicellulose, Cellulose, and Lignin Content in Different Types of Biomasses by Thermogravimetric Analysis and Pseudocomponent Kinetic Model.</w:t>
      </w:r>
      <w:r>
        <w:t xml:space="preserve"> </w:t>
      </w:r>
      <w:r>
        <w:rPr>
          <w:i/>
          <w:iCs/>
        </w:rPr>
        <w:t xml:space="preserve">Processes</w:t>
      </w:r>
      <w:r>
        <w:t xml:space="preserve">,</w:t>
      </w:r>
      <w:r>
        <w:t xml:space="preserve"> </w:t>
      </w:r>
      <w:r>
        <w:rPr>
          <w:i/>
          <w:iCs/>
        </w:rPr>
        <w:t xml:space="preserve">8</w:t>
      </w:r>
      <w:r>
        <w:t xml:space="preserve">(9), 1048.</w:t>
      </w:r>
      <w:r>
        <w:t xml:space="preserve"> </w:t>
      </w:r>
      <w:hyperlink r:id="rId152">
        <w:r>
          <w:rPr>
            <w:rStyle w:val="Hyperlink"/>
          </w:rPr>
          <w:t xml:space="preserve">https://doi.org/10.3390/pr8091048</w:t>
        </w:r>
      </w:hyperlink>
    </w:p>
    <w:bookmarkEnd w:id="153"/>
    <w:bookmarkStart w:id="155" w:name="ref-Lerpiniere2014"/>
    <w:p>
      <w:pPr>
        <w:pStyle w:val="Bibliografia"/>
      </w:pPr>
      <w:r>
        <w:t xml:space="preserve">Lerpiniere, C., Withers, P. J., &amp; Sutton, M. A. (2014). Delamination and interfacial failure in multilayer polymer coatings: experimental characterisation and modelling.</w:t>
      </w:r>
      <w:r>
        <w:t xml:space="preserve"> </w:t>
      </w:r>
      <w:r>
        <w:rPr>
          <w:i/>
          <w:iCs/>
        </w:rPr>
        <w:t xml:space="preserve">International Journal of Solids and Structures</w:t>
      </w:r>
      <w:r>
        <w:t xml:space="preserve">,</w:t>
      </w:r>
      <w:r>
        <w:t xml:space="preserve"> </w:t>
      </w:r>
      <w:r>
        <w:rPr>
          <w:i/>
          <w:iCs/>
        </w:rPr>
        <w:t xml:space="preserve">51</w:t>
      </w:r>
      <w:r>
        <w:t xml:space="preserve">, 2829–2841.</w:t>
      </w:r>
      <w:r>
        <w:t xml:space="preserve"> </w:t>
      </w:r>
      <w:hyperlink r:id="rId154">
        <w:r>
          <w:rPr>
            <w:rStyle w:val="Hyperlink"/>
          </w:rPr>
          <w:t xml:space="preserve">https://doi.org/10.1016/j.ijsolstr.2014.07.018</w:t>
        </w:r>
      </w:hyperlink>
    </w:p>
    <w:bookmarkEnd w:id="155"/>
    <w:bookmarkStart w:id="157" w:name="ref-Liu2012"/>
    <w:p>
      <w:pPr>
        <w:pStyle w:val="Bibliografia"/>
      </w:pPr>
      <w:r>
        <w:t xml:space="preserve">Liu, C. M., Kachur, S., Dwan, M. G., Abraham, A. G., Aziz, M., Hsueh, P. R., Huang, Y. T., Busch, J. D., Lamit, L. J., Gehring, C. A., Keim, P., &amp; Price, L. B. (2012).</w:t>
      </w:r>
      <w:r>
        <w:t xml:space="preserve"> </w:t>
      </w:r>
      <w:r>
        <w:t xml:space="preserve">FungiQuant</w:t>
      </w:r>
      <w:r>
        <w:t xml:space="preserve">: a broad-coverage fungal quantitative real-time</w:t>
      </w:r>
      <w:r>
        <w:t xml:space="preserve"> </w:t>
      </w:r>
      <w:r>
        <w:t xml:space="preserve">PCR</w:t>
      </w:r>
      <w:r>
        <w:t xml:space="preserve"> </w:t>
      </w:r>
      <w:r>
        <w:t xml:space="preserve">assay.</w:t>
      </w:r>
      <w:r>
        <w:t xml:space="preserve"> </w:t>
      </w:r>
      <w:r>
        <w:rPr>
          <w:i/>
          <w:iCs/>
        </w:rPr>
        <w:t xml:space="preserve">BMC Microbiology</w:t>
      </w:r>
      <w:r>
        <w:t xml:space="preserve">,</w:t>
      </w:r>
      <w:r>
        <w:t xml:space="preserve"> </w:t>
      </w:r>
      <w:r>
        <w:rPr>
          <w:i/>
          <w:iCs/>
        </w:rPr>
        <w:t xml:space="preserve">12</w:t>
      </w:r>
      <w:r>
        <w:t xml:space="preserve">(1), 255.</w:t>
      </w:r>
      <w:r>
        <w:t xml:space="preserve"> </w:t>
      </w:r>
      <w:hyperlink r:id="rId156">
        <w:r>
          <w:rPr>
            <w:rStyle w:val="Hyperlink"/>
          </w:rPr>
          <w:t xml:space="preserve">https://doi.org/10.1186/1471-2180-12-255</w:t>
        </w:r>
      </w:hyperlink>
    </w:p>
    <w:bookmarkEnd w:id="157"/>
    <w:bookmarkStart w:id="159" w:name="ref-Lorenzo2024_Typha"/>
    <w:p>
      <w:pPr>
        <w:pStyle w:val="Bibliografia"/>
      </w:pPr>
      <w:r>
        <w:t xml:space="preserve">Lorenzo, P. et al.</w:t>
      </w:r>
      <w:r>
        <w:t xml:space="preserve"> (2024). Biomass production and management of invasive Typha spp. in wetland areas.</w:t>
      </w:r>
      <w:r>
        <w:t xml:space="preserve"> </w:t>
      </w:r>
      <w:r>
        <w:rPr>
          <w:i/>
          <w:iCs/>
        </w:rPr>
        <w:t xml:space="preserve">Wetlands Ecology and Management</w:t>
      </w:r>
      <w:r>
        <w:t xml:space="preserve">.</w:t>
      </w:r>
      <w:r>
        <w:t xml:space="preserve"> </w:t>
      </w:r>
      <w:hyperlink r:id="rId158">
        <w:r>
          <w:rPr>
            <w:rStyle w:val="Hyperlink"/>
          </w:rPr>
          <w:t xml:space="preserve">https://doi.org/10.1007/s11273-023-10037-1</w:t>
        </w:r>
      </w:hyperlink>
    </w:p>
    <w:bookmarkEnd w:id="159"/>
    <w:bookmarkStart w:id="160" w:name="ref-Luqman2023"/>
    <w:p>
      <w:pPr>
        <w:pStyle w:val="Bibliografia"/>
      </w:pPr>
      <w:r>
        <w:t xml:space="preserve">Luqman, R., Suhot, M., &amp; Hassan, M. (2023). Effect of alkaline treatment on the single natural fiber strength using Weibull analysis probabilistic model.</w:t>
      </w:r>
      <w:r>
        <w:t xml:space="preserve"> </w:t>
      </w:r>
      <w:r>
        <w:rPr>
          <w:i/>
          <w:iCs/>
        </w:rPr>
        <w:t xml:space="preserve">Materials Today: Proceedings</w:t>
      </w:r>
      <w:r>
        <w:t xml:space="preserve">,</w:t>
      </w:r>
      <w:r>
        <w:t xml:space="preserve"> </w:t>
      </w:r>
      <w:r>
        <w:rPr>
          <w:i/>
          <w:iCs/>
        </w:rPr>
        <w:t xml:space="preserve">72</w:t>
      </w:r>
      <w:r>
        <w:t xml:space="preserve">, 1–6.</w:t>
      </w:r>
    </w:p>
    <w:bookmarkEnd w:id="160"/>
    <w:bookmarkStart w:id="162" w:name="ref-Mahannopkul2019"/>
    <w:p>
      <w:pPr>
        <w:pStyle w:val="Bibliografia"/>
      </w:pPr>
      <w:r>
        <w:t xml:space="preserve">Mahannopkul, K., &amp; Jotisankasa, A. (2019). Influences of root concentration and suction on Chrysopogon zizanioides reinforcement of soil.</w:t>
      </w:r>
      <w:r>
        <w:t xml:space="preserve"> </w:t>
      </w:r>
      <w:r>
        <w:rPr>
          <w:i/>
          <w:iCs/>
        </w:rPr>
        <w:t xml:space="preserve">Soils and Foundations</w:t>
      </w:r>
      <w:r>
        <w:t xml:space="preserve">,</w:t>
      </w:r>
      <w:r>
        <w:t xml:space="preserve"> </w:t>
      </w:r>
      <w:r>
        <w:rPr>
          <w:i/>
          <w:iCs/>
        </w:rPr>
        <w:t xml:space="preserve">59</w:t>
      </w:r>
      <w:r>
        <w:t xml:space="preserve">, 500–516.</w:t>
      </w:r>
      <w:r>
        <w:t xml:space="preserve"> </w:t>
      </w:r>
      <w:hyperlink r:id="rId161">
        <w:r>
          <w:rPr>
            <w:rStyle w:val="Hyperlink"/>
          </w:rPr>
          <w:t xml:space="preserve">https://doi.org/10.1016/j.sandf.2018.12.014</w:t>
        </w:r>
      </w:hyperlink>
    </w:p>
    <w:bookmarkEnd w:id="162"/>
    <w:bookmarkStart w:id="164" w:name="ref-mansikkamaki2007"/>
    <w:p>
      <w:pPr>
        <w:pStyle w:val="Bibliografia"/>
      </w:pPr>
      <w:r>
        <w:t xml:space="preserve">Mansikkamaki, P., Lahtinen, M., &amp; Rissanen, K. (2007). The conversion from cellulose I to cellulose II in NaOH mercerization performed in alcohol–water systems: An X-ray powder diffraction study.</w:t>
      </w:r>
      <w:r>
        <w:t xml:space="preserve"> </w:t>
      </w:r>
      <w:r>
        <w:rPr>
          <w:i/>
          <w:iCs/>
        </w:rPr>
        <w:t xml:space="preserve">Carbohydrate Polymers</w:t>
      </w:r>
      <w:r>
        <w:t xml:space="preserve">,</w:t>
      </w:r>
      <w:r>
        <w:t xml:space="preserve"> </w:t>
      </w:r>
      <w:r>
        <w:rPr>
          <w:i/>
          <w:iCs/>
        </w:rPr>
        <w:t xml:space="preserve">68</w:t>
      </w:r>
      <w:r>
        <w:t xml:space="preserve">, 35–43.</w:t>
      </w:r>
      <w:r>
        <w:t xml:space="preserve"> </w:t>
      </w:r>
      <w:hyperlink r:id="rId163">
        <w:r>
          <w:rPr>
            <w:rStyle w:val="Hyperlink"/>
          </w:rPr>
          <w:t xml:space="preserve">https://doi.org/10.1016/j.carbpol.2006.07.010</w:t>
        </w:r>
      </w:hyperlink>
    </w:p>
    <w:bookmarkEnd w:id="164"/>
    <w:bookmarkStart w:id="165" w:name="ref-Martinelli2024"/>
    <w:p>
      <w:pPr>
        <w:pStyle w:val="Bibliografia"/>
      </w:pPr>
      <w:r>
        <w:t xml:space="preserve">Martinelli, F., Pariz, M., Andrade, R. de, Ferreira, S., et al.</w:t>
      </w:r>
      <w:r>
        <w:t xml:space="preserve"> (2024). Influence of drying temperature on coconut-fibers.</w:t>
      </w:r>
      <w:r>
        <w:t xml:space="preserve"> </w:t>
      </w:r>
      <w:r>
        <w:rPr>
          <w:i/>
          <w:iCs/>
        </w:rPr>
        <w:t xml:space="preserve">Scientific Reports</w:t>
      </w:r>
      <w:r>
        <w:t xml:space="preserve">,</w:t>
      </w:r>
      <w:r>
        <w:t xml:space="preserve"> </w:t>
      </w:r>
      <w:r>
        <w:rPr>
          <w:i/>
          <w:iCs/>
        </w:rPr>
        <w:t xml:space="preserve">14</w:t>
      </w:r>
      <w:r>
        <w:t xml:space="preserve">(1), 1–12.</w:t>
      </w:r>
    </w:p>
    <w:bookmarkEnd w:id="165"/>
    <w:bookmarkStart w:id="167" w:name="ref-McHugh1993"/>
    <w:p>
      <w:pPr>
        <w:pStyle w:val="Bibliografia"/>
      </w:pPr>
      <w:r>
        <w:t xml:space="preserve">McHugh, T. H., Avena-Bustillos, R., &amp; Krochta, J. M. (1993). Hydrophilic edible films: modified procedure for water vapor permeability and explanation of thickness effects.</w:t>
      </w:r>
      <w:r>
        <w:t xml:space="preserve"> </w:t>
      </w:r>
      <w:r>
        <w:rPr>
          <w:i/>
          <w:iCs/>
        </w:rPr>
        <w:t xml:space="preserve">Journal of Food Science</w:t>
      </w:r>
      <w:r>
        <w:t xml:space="preserve">,</w:t>
      </w:r>
      <w:r>
        <w:t xml:space="preserve"> </w:t>
      </w:r>
      <w:r>
        <w:rPr>
          <w:i/>
          <w:iCs/>
        </w:rPr>
        <w:t xml:space="preserve">58</w:t>
      </w:r>
      <w:r>
        <w:t xml:space="preserve">(4), 899–903.</w:t>
      </w:r>
      <w:r>
        <w:t xml:space="preserve"> </w:t>
      </w:r>
      <w:hyperlink r:id="rId166">
        <w:r>
          <w:rPr>
            <w:rStyle w:val="Hyperlink"/>
          </w:rPr>
          <w:t xml:space="preserve">https://doi.org/10.1111/j.1365-2621.1993.tb09387.x</w:t>
        </w:r>
      </w:hyperlink>
    </w:p>
    <w:bookmarkEnd w:id="167"/>
    <w:bookmarkStart w:id="169" w:name="ref-Meinshausen2011"/>
    <w:p>
      <w:pPr>
        <w:pStyle w:val="Bibliografia"/>
      </w:pPr>
      <w:r>
        <w:t xml:space="preserve">Meinshausen, M., Smith, S. J., Calvin, K., Daniel, J. S., Kainuma, M. L. T., Lamarque, J. F., Matsumoto, K., Montzka, S. A., Raper, S. C. B., Riahi, K., Thomson, A., Velders, G. J. M., &amp; Vuuren, D. P. P. van. (2011). The</w:t>
      </w:r>
      <w:r>
        <w:t xml:space="preserve"> </w:t>
      </w:r>
      <w:r>
        <w:t xml:space="preserve">RCP</w:t>
      </w:r>
      <w:r>
        <w:t xml:space="preserve"> </w:t>
      </w:r>
      <w:r>
        <w:t xml:space="preserve">greenhouse gas concentrations and their extensions from 1765 to 2300.</w:t>
      </w:r>
      <w:r>
        <w:t xml:space="preserve"> </w:t>
      </w:r>
      <w:r>
        <w:rPr>
          <w:i/>
          <w:iCs/>
        </w:rPr>
        <w:t xml:space="preserve">Climatic Change</w:t>
      </w:r>
      <w:r>
        <w:t xml:space="preserve">,</w:t>
      </w:r>
      <w:r>
        <w:t xml:space="preserve"> </w:t>
      </w:r>
      <w:r>
        <w:rPr>
          <w:i/>
          <w:iCs/>
        </w:rPr>
        <w:t xml:space="preserve">109</w:t>
      </w:r>
      <w:r>
        <w:t xml:space="preserve">(1), 213–241.</w:t>
      </w:r>
      <w:r>
        <w:t xml:space="preserve"> </w:t>
      </w:r>
      <w:hyperlink r:id="rId168">
        <w:r>
          <w:rPr>
            <w:rStyle w:val="Hyperlink"/>
          </w:rPr>
          <w:t xml:space="preserve">https://doi.org/10.1007/s10584-011-0156-z</w:t>
        </w:r>
      </w:hyperlink>
    </w:p>
    <w:bookmarkEnd w:id="169"/>
    <w:bookmarkStart w:id="171" w:name="ref-Methacanon2010"/>
    <w:p>
      <w:pPr>
        <w:pStyle w:val="Bibliografia"/>
      </w:pPr>
      <w:r>
        <w:t xml:space="preserve">Methacanon, P., Weerawatsophon, U., Sumransin, N., Prahsarn, C., &amp; Bergado, D. T. (2010). Properties and potential application of the selected natural fibers as limited life geotextiles.</w:t>
      </w:r>
      <w:r>
        <w:t xml:space="preserve"> </w:t>
      </w:r>
      <w:r>
        <w:rPr>
          <w:i/>
          <w:iCs/>
        </w:rPr>
        <w:t xml:space="preserve">Carbohydrate Polymers</w:t>
      </w:r>
      <w:r>
        <w:t xml:space="preserve">,</w:t>
      </w:r>
      <w:r>
        <w:t xml:space="preserve"> </w:t>
      </w:r>
      <w:r>
        <w:rPr>
          <w:i/>
          <w:iCs/>
        </w:rPr>
        <w:t xml:space="preserve">82</w:t>
      </w:r>
      <w:r>
        <w:t xml:space="preserve">(4), 1090–1096.</w:t>
      </w:r>
      <w:r>
        <w:t xml:space="preserve"> </w:t>
      </w:r>
      <w:hyperlink r:id="rId170">
        <w:r>
          <w:rPr>
            <w:rStyle w:val="Hyperlink"/>
          </w:rPr>
          <w:t xml:space="preserve">https://doi.org/10.1016/j.carbpol.2010.06.036</w:t>
        </w:r>
      </w:hyperlink>
    </w:p>
    <w:bookmarkEnd w:id="171"/>
    <w:bookmarkStart w:id="173" w:name="ref-Midha2017"/>
    <w:p>
      <w:pPr>
        <w:pStyle w:val="Bibliografia"/>
      </w:pPr>
      <w:r>
        <w:t xml:space="preserve">Midha, V. K., Joshi, S., &amp; Kumar, S. S. (2017). Performance of Chemically Treated Jute Geotextile in Unpaved Roads at Different in situ Conditions.</w:t>
      </w:r>
      <w:r>
        <w:t xml:space="preserve"> </w:t>
      </w:r>
      <w:r>
        <w:rPr>
          <w:i/>
          <w:iCs/>
        </w:rPr>
        <w:t xml:space="preserve">Journal of The Institution of Engineers (India): Series E</w:t>
      </w:r>
      <w:r>
        <w:t xml:space="preserve">,</w:t>
      </w:r>
      <w:r>
        <w:t xml:space="preserve"> </w:t>
      </w:r>
      <w:r>
        <w:rPr>
          <w:i/>
          <w:iCs/>
        </w:rPr>
        <w:t xml:space="preserve">98</w:t>
      </w:r>
      <w:r>
        <w:t xml:space="preserve">, 47–54.</w:t>
      </w:r>
      <w:r>
        <w:t xml:space="preserve"> </w:t>
      </w:r>
      <w:hyperlink r:id="rId172">
        <w:r>
          <w:rPr>
            <w:rStyle w:val="Hyperlink"/>
          </w:rPr>
          <w:t xml:space="preserve">https://doi.org/10.1007/S40034-017-0093-0</w:t>
        </w:r>
      </w:hyperlink>
    </w:p>
    <w:bookmarkEnd w:id="173"/>
    <w:bookmarkStart w:id="175" w:name="ref-Nandagopal2021"/>
    <w:p>
      <w:pPr>
        <w:pStyle w:val="Bibliografia"/>
      </w:pPr>
      <w:r>
        <w:t xml:space="preserve">Nandagopal, R. A., Narasimalu, S., &amp; Chai, G. B. (2021). Study of statistically significant strength degradation of hygrothermal aged CFRP and its weibull analysis.</w:t>
      </w:r>
      <w:r>
        <w:t xml:space="preserve"> </w:t>
      </w:r>
      <w:r>
        <w:rPr>
          <w:i/>
          <w:iCs/>
        </w:rPr>
        <w:t xml:space="preserve">Composites Communications</w:t>
      </w:r>
      <w:r>
        <w:t xml:space="preserve">,</w:t>
      </w:r>
      <w:r>
        <w:t xml:space="preserve"> </w:t>
      </w:r>
      <w:r>
        <w:rPr>
          <w:i/>
          <w:iCs/>
        </w:rPr>
        <w:t xml:space="preserve">23</w:t>
      </w:r>
      <w:r>
        <w:t xml:space="preserve">, 100566.</w:t>
      </w:r>
      <w:r>
        <w:t xml:space="preserve"> </w:t>
      </w:r>
      <w:hyperlink r:id="rId174">
        <w:r>
          <w:rPr>
            <w:rStyle w:val="Hyperlink"/>
          </w:rPr>
          <w:t xml:space="preserve">https://doi.org/10.1016/j.coco.2020.100566</w:t>
        </w:r>
      </w:hyperlink>
    </w:p>
    <w:bookmarkEnd w:id="175"/>
    <w:bookmarkStart w:id="177" w:name="ref-Narayana2021"/>
    <w:p>
      <w:pPr>
        <w:pStyle w:val="Bibliografia"/>
      </w:pPr>
      <w:r>
        <w:t xml:space="preserve">Narayana, V. L., &amp; Rao, L. B. (2021). A brief review on the effect of alkali treatment on mechanical properties of various natural fiber reinforced polymer composites.</w:t>
      </w:r>
      <w:r>
        <w:t xml:space="preserve"> </w:t>
      </w:r>
      <w:r>
        <w:rPr>
          <w:i/>
          <w:iCs/>
        </w:rPr>
        <w:t xml:space="preserve">Materials Today: Proceedings</w:t>
      </w:r>
      <w:r>
        <w:t xml:space="preserve">,</w:t>
      </w:r>
      <w:r>
        <w:t xml:space="preserve"> </w:t>
      </w:r>
      <w:r>
        <w:rPr>
          <w:i/>
          <w:iCs/>
        </w:rPr>
        <w:t xml:space="preserve">44</w:t>
      </w:r>
      <w:r>
        <w:t xml:space="preserve">, 1988–1994.</w:t>
      </w:r>
      <w:r>
        <w:t xml:space="preserve"> </w:t>
      </w:r>
      <w:hyperlink r:id="rId176">
        <w:r>
          <w:rPr>
            <w:rStyle w:val="Hyperlink"/>
          </w:rPr>
          <w:t xml:space="preserve">https://doi.org/10.1016/j.matpr.2020.12.117</w:t>
        </w:r>
      </w:hyperlink>
    </w:p>
    <w:bookmarkEnd w:id="177"/>
    <w:bookmarkStart w:id="179" w:name="ref-Nayan2014"/>
    <w:p>
      <w:pPr>
        <w:pStyle w:val="Bibliografia"/>
      </w:pPr>
      <w:r>
        <w:t xml:space="preserve">Nayan, N. H. M., Rahman, W. A. W. A., &amp; Majid, R. A. (2014). The effect of mercerization process on the structural and morphological properties of pineapple leaf fiber (PALF) pulp.</w:t>
      </w:r>
      <w:r>
        <w:t xml:space="preserve"> </w:t>
      </w:r>
      <w:r>
        <w:rPr>
          <w:i/>
          <w:iCs/>
        </w:rPr>
        <w:t xml:space="preserve">Malaysian Journal of Fundamental and Applied Sciences</w:t>
      </w:r>
      <w:r>
        <w:t xml:space="preserve">,</w:t>
      </w:r>
      <w:r>
        <w:t xml:space="preserve"> </w:t>
      </w:r>
      <w:r>
        <w:rPr>
          <w:i/>
          <w:iCs/>
        </w:rPr>
        <w:t xml:space="preserve">10</w:t>
      </w:r>
      <w:r>
        <w:t xml:space="preserve">.</w:t>
      </w:r>
      <w:r>
        <w:t xml:space="preserve"> </w:t>
      </w:r>
      <w:hyperlink r:id="rId178">
        <w:r>
          <w:rPr>
            <w:rStyle w:val="Hyperlink"/>
          </w:rPr>
          <w:t xml:space="preserve">https://doi.org/10.11113/mjfas.v10n1.63</w:t>
        </w:r>
      </w:hyperlink>
    </w:p>
    <w:bookmarkEnd w:id="179"/>
    <w:bookmarkStart w:id="181" w:name="ref-Nilsson1988"/>
    <w:p>
      <w:pPr>
        <w:pStyle w:val="Bibliografia"/>
      </w:pPr>
      <w:r>
        <w:t xml:space="preserve">Nilsson, T., &amp; Daniel, G. (1988). Microscopy of Wood Degradation by Fungi.</w:t>
      </w:r>
      <w:r>
        <w:t xml:space="preserve"> </w:t>
      </w:r>
      <w:r>
        <w:rPr>
          <w:i/>
          <w:iCs/>
        </w:rPr>
        <w:t xml:space="preserve">Holzforschung</w:t>
      </w:r>
      <w:r>
        <w:t xml:space="preserve">.</w:t>
      </w:r>
      <w:r>
        <w:t xml:space="preserve"> </w:t>
      </w:r>
      <w:hyperlink r:id="rId180">
        <w:r>
          <w:rPr>
            <w:rStyle w:val="Hyperlink"/>
          </w:rPr>
          <w:t xml:space="preserve">https://doi.org/10.1007/3-540-32139-x_4</w:t>
        </w:r>
      </w:hyperlink>
    </w:p>
    <w:bookmarkEnd w:id="181"/>
    <w:bookmarkStart w:id="183" w:name="ref-Niu2017"/>
    <w:p>
      <w:pPr>
        <w:pStyle w:val="Bibliografia"/>
      </w:pPr>
      <w:r>
        <w:t xml:space="preserve">Niu, X., &amp; Nan, Z. (2017). Roots of Cleistogenes songorica Improved Soil Aggregate Cohesion and Enhance Soil Water Erosion Resistance in Rainfall Simulation Experiments.</w:t>
      </w:r>
      <w:r>
        <w:t xml:space="preserve"> </w:t>
      </w:r>
      <w:r>
        <w:rPr>
          <w:i/>
          <w:iCs/>
        </w:rPr>
        <w:t xml:space="preserve">Water, Air, &amp; Soil Pollution</w:t>
      </w:r>
      <w:r>
        <w:t xml:space="preserve">,</w:t>
      </w:r>
      <w:r>
        <w:t xml:space="preserve"> </w:t>
      </w:r>
      <w:r>
        <w:rPr>
          <w:i/>
          <w:iCs/>
        </w:rPr>
        <w:t xml:space="preserve">228</w:t>
      </w:r>
      <w:r>
        <w:t xml:space="preserve">, 109.</w:t>
      </w:r>
      <w:r>
        <w:t xml:space="preserve"> </w:t>
      </w:r>
      <w:hyperlink r:id="rId182">
        <w:r>
          <w:rPr>
            <w:rStyle w:val="Hyperlink"/>
          </w:rPr>
          <w:t xml:space="preserve">https://doi.org/10.1007/s11270-017-3289-5</w:t>
        </w:r>
      </w:hyperlink>
    </w:p>
    <w:bookmarkEnd w:id="183"/>
    <w:bookmarkStart w:id="185" w:name="ref-Oushabi2017"/>
    <w:p>
      <w:pPr>
        <w:pStyle w:val="Bibliografia"/>
      </w:pPr>
      <w:r>
        <w:t xml:space="preserve">Oushabi, A., Sair, S., Hassani, F. O., Abboud, Y., Tanane, O., &amp; Bouari, A. E. (2017). The effect of alkali treatment on mechanical, morphological and thermal properties of date palm fibers (DPFs): Study of the interface of DPF–Polyurethane composite.</w:t>
      </w:r>
      <w:r>
        <w:t xml:space="preserve"> </w:t>
      </w:r>
      <w:r>
        <w:rPr>
          <w:i/>
          <w:iCs/>
        </w:rPr>
        <w:t xml:space="preserve">South African Journal of Chemical Engineering</w:t>
      </w:r>
      <w:r>
        <w:t xml:space="preserve">,</w:t>
      </w:r>
      <w:r>
        <w:t xml:space="preserve"> </w:t>
      </w:r>
      <w:r>
        <w:rPr>
          <w:i/>
          <w:iCs/>
        </w:rPr>
        <w:t xml:space="preserve">23</w:t>
      </w:r>
      <w:r>
        <w:t xml:space="preserve">, 116–123.</w:t>
      </w:r>
      <w:r>
        <w:t xml:space="preserve"> </w:t>
      </w:r>
      <w:hyperlink r:id="rId184">
        <w:r>
          <w:rPr>
            <w:rStyle w:val="Hyperlink"/>
          </w:rPr>
          <w:t xml:space="preserve">https://doi.org/10.1016/j.sajce.2017.04.005</w:t>
        </w:r>
      </w:hyperlink>
    </w:p>
    <w:bookmarkEnd w:id="185"/>
    <w:bookmarkStart w:id="187" w:name="ref-Panasenko2012"/>
    <w:p>
      <w:pPr>
        <w:pStyle w:val="Bibliografia"/>
      </w:pPr>
      <w:r>
        <w:t xml:space="preserve">Panasenko, S. et al.</w:t>
      </w:r>
      <w:r>
        <w:t xml:space="preserve"> (2012). Weibull analysis of the tensile behavior of fibers with geometrical irregularities.</w:t>
      </w:r>
      <w:r>
        <w:t xml:space="preserve"> </w:t>
      </w:r>
      <w:r>
        <w:rPr>
          <w:i/>
          <w:iCs/>
        </w:rPr>
        <w:t xml:space="preserve">Composites Part A: Applied Science and Manufacturing</w:t>
      </w:r>
      <w:r>
        <w:t xml:space="preserve">.</w:t>
      </w:r>
      <w:r>
        <w:t xml:space="preserve"> </w:t>
      </w:r>
      <w:hyperlink r:id="rId186">
        <w:r>
          <w:rPr>
            <w:rStyle w:val="Hyperlink"/>
          </w:rPr>
          <w:t xml:space="preserve">https://doi.org/10.1016/j.compositesa.2012.04.015</w:t>
        </w:r>
      </w:hyperlink>
    </w:p>
    <w:bookmarkEnd w:id="187"/>
    <w:bookmarkStart w:id="189" w:name="ref-Pandey1999"/>
    <w:p>
      <w:pPr>
        <w:pStyle w:val="Bibliografia"/>
      </w:pPr>
      <w:r>
        <w:t xml:space="preserve">Pandey, K. K. (1999). A study of chemical structure of soft and hardwood and wood polymers by FTIR spectroscopy.</w:t>
      </w:r>
      <w:r>
        <w:t xml:space="preserve"> </w:t>
      </w:r>
      <w:r>
        <w:rPr>
          <w:i/>
          <w:iCs/>
        </w:rPr>
        <w:t xml:space="preserve">Journal of Applied Polymer Science</w:t>
      </w:r>
      <w:r>
        <w:t xml:space="preserve">,</w:t>
      </w:r>
      <w:r>
        <w:t xml:space="preserve"> </w:t>
      </w:r>
      <w:r>
        <w:rPr>
          <w:i/>
          <w:iCs/>
        </w:rPr>
        <w:t xml:space="preserve">71</w:t>
      </w:r>
      <w:r>
        <w:t xml:space="preserve">, 1969–1975.</w:t>
      </w:r>
      <w:r>
        <w:t xml:space="preserve"> </w:t>
      </w:r>
      <w:hyperlink r:id="rId188">
        <w:r>
          <w:rPr>
            <w:rStyle w:val="Hyperlink"/>
          </w:rPr>
          <w:t xml:space="preserve">https://doi.org/10.1002/(SICI)1097-4628(19990307)71:12&lt;1969::AID-APP6&gt;3.0.CO;2-D</w:t>
        </w:r>
      </w:hyperlink>
    </w:p>
    <w:bookmarkEnd w:id="189"/>
    <w:bookmarkStart w:id="191" w:name="ref-Pil2019"/>
    <w:p>
      <w:pPr>
        <w:pStyle w:val="Bibliografia"/>
      </w:pPr>
      <w:r>
        <w:t xml:space="preserve">Pil, L. et al.</w:t>
      </w:r>
      <w:r>
        <w:t xml:space="preserve"> (2022). Biodegradable Nonwoven Agrotextile and Films—A Review.</w:t>
      </w:r>
      <w:r>
        <w:t xml:space="preserve"> </w:t>
      </w:r>
      <w:r>
        <w:rPr>
          <w:i/>
          <w:iCs/>
        </w:rPr>
        <w:t xml:space="preserve">Polymers</w:t>
      </w:r>
      <w:r>
        <w:t xml:space="preserve">,</w:t>
      </w:r>
      <w:r>
        <w:t xml:space="preserve"> </w:t>
      </w:r>
      <w:r>
        <w:rPr>
          <w:i/>
          <w:iCs/>
        </w:rPr>
        <w:t xml:space="preserve">14</w:t>
      </w:r>
      <w:r>
        <w:t xml:space="preserve">(11), 2178.</w:t>
      </w:r>
      <w:r>
        <w:t xml:space="preserve"> </w:t>
      </w:r>
      <w:hyperlink r:id="rId190">
        <w:r>
          <w:rPr>
            <w:rStyle w:val="Hyperlink"/>
          </w:rPr>
          <w:t xml:space="preserve">https://doi.org/10.3390/polym14112178</w:t>
        </w:r>
      </w:hyperlink>
    </w:p>
    <w:bookmarkEnd w:id="191"/>
    <w:bookmarkStart w:id="193" w:name="ref-Poletto2012"/>
    <w:p>
      <w:pPr>
        <w:pStyle w:val="Bibliografia"/>
      </w:pPr>
      <w:r>
        <w:t xml:space="preserve">Poletto, M., Pistor, V., Santana, R. M. C., &amp; Zattera, A. J. (2012). Materials produced from plant biomass: part II: evaluation of crystallinity and degradation kinetics of cellulose.</w:t>
      </w:r>
      <w:r>
        <w:t xml:space="preserve"> </w:t>
      </w:r>
      <w:r>
        <w:rPr>
          <w:i/>
          <w:iCs/>
        </w:rPr>
        <w:t xml:space="preserve">Materials Research</w:t>
      </w:r>
      <w:r>
        <w:t xml:space="preserve">,</w:t>
      </w:r>
      <w:r>
        <w:t xml:space="preserve"> </w:t>
      </w:r>
      <w:r>
        <w:rPr>
          <w:i/>
          <w:iCs/>
        </w:rPr>
        <w:t xml:space="preserve">15</w:t>
      </w:r>
      <w:r>
        <w:t xml:space="preserve">, 421–427.</w:t>
      </w:r>
      <w:r>
        <w:t xml:space="preserve"> </w:t>
      </w:r>
      <w:hyperlink r:id="rId192">
        <w:r>
          <w:rPr>
            <w:rStyle w:val="Hyperlink"/>
          </w:rPr>
          <w:t xml:space="preserve">https://doi.org/10.1590/S1516-14392012005000048</w:t>
        </w:r>
      </w:hyperlink>
    </w:p>
    <w:bookmarkEnd w:id="193"/>
    <w:bookmarkStart w:id="195" w:name="ref-Popescu2011"/>
    <w:p>
      <w:pPr>
        <w:pStyle w:val="Bibliografia"/>
      </w:pPr>
      <w:r>
        <w:t xml:space="preserve">Popescu, C.-M., Popescu, M.-C., Singurel, G., Vasile, C., Argyropoulos, D. S., &amp; Willf"or, S. (2011). Spectral characterization of wood and wood-based materials. A review.</w:t>
      </w:r>
      <w:r>
        <w:t xml:space="preserve"> </w:t>
      </w:r>
      <w:r>
        <w:rPr>
          <w:i/>
          <w:iCs/>
        </w:rPr>
        <w:t xml:space="preserve">Holzforschung</w:t>
      </w:r>
      <w:r>
        <w:t xml:space="preserve">,</w:t>
      </w:r>
      <w:r>
        <w:t xml:space="preserve"> </w:t>
      </w:r>
      <w:r>
        <w:rPr>
          <w:i/>
          <w:iCs/>
        </w:rPr>
        <w:t xml:space="preserve">65</w:t>
      </w:r>
      <w:r>
        <w:t xml:space="preserve">, 95–103.</w:t>
      </w:r>
      <w:r>
        <w:t xml:space="preserve"> </w:t>
      </w:r>
      <w:hyperlink r:id="rId194">
        <w:r>
          <w:rPr>
            <w:rStyle w:val="Hyperlink"/>
          </w:rPr>
          <w:t xml:space="preserve">https://doi.org/10.1515/hf.2011.016</w:t>
        </w:r>
      </w:hyperlink>
    </w:p>
    <w:bookmarkEnd w:id="195"/>
    <w:bookmarkStart w:id="197" w:name="ref-Prambauer2019"/>
    <w:p>
      <w:pPr>
        <w:pStyle w:val="Bibliografia"/>
      </w:pPr>
      <w:r>
        <w:t xml:space="preserve">Prambauer, M., Wendeler, C., Weitzenböck, J., &amp; Burgstaller, C. (2019). Biodegradable geotextiles –</w:t>
      </w:r>
      <w:r>
        <w:t xml:space="preserve"> </w:t>
      </w:r>
      <w:r>
        <w:t xml:space="preserve">An</w:t>
      </w:r>
      <w:r>
        <w:t xml:space="preserve"> </w:t>
      </w:r>
      <w:r>
        <w:t xml:space="preserve">overview of existing and potential materials.</w:t>
      </w:r>
      <w:r>
        <w:t xml:space="preserve"> </w:t>
      </w:r>
      <w:r>
        <w:rPr>
          <w:i/>
          <w:iCs/>
        </w:rPr>
        <w:t xml:space="preserve">Geotextiles and Geomembranes</w:t>
      </w:r>
      <w:r>
        <w:t xml:space="preserve">,</w:t>
      </w:r>
      <w:r>
        <w:t xml:space="preserve"> </w:t>
      </w:r>
      <w:r>
        <w:rPr>
          <w:i/>
          <w:iCs/>
        </w:rPr>
        <w:t xml:space="preserve">47</w:t>
      </w:r>
      <w:r>
        <w:t xml:space="preserve">(1), 48–59.</w:t>
      </w:r>
      <w:r>
        <w:t xml:space="preserve"> </w:t>
      </w:r>
      <w:hyperlink r:id="rId196">
        <w:r>
          <w:rPr>
            <w:rStyle w:val="Hyperlink"/>
          </w:rPr>
          <w:t xml:space="preserve">https://doi.org/10.1016/j.geotexmem.2018.09.006</w:t>
        </w:r>
      </w:hyperlink>
    </w:p>
    <w:bookmarkEnd w:id="197"/>
    <w:bookmarkStart w:id="199" w:name="ref-Prasad2020"/>
    <w:p>
      <w:pPr>
        <w:pStyle w:val="Bibliografia"/>
      </w:pPr>
      <w:r>
        <w:t xml:space="preserve">Prasad, K., Nikzad, M., &amp; Sbarski, I. (2020). Using viscoelastic modeling and molecular dynamics based simulations to characterize polymer natural fiber composites.</w:t>
      </w:r>
      <w:r>
        <w:t xml:space="preserve"> </w:t>
      </w:r>
      <w:r>
        <w:rPr>
          <w:i/>
          <w:iCs/>
        </w:rPr>
        <w:t xml:space="preserve">Journal of Applied Polymer Science</w:t>
      </w:r>
      <w:r>
        <w:t xml:space="preserve">,</w:t>
      </w:r>
      <w:r>
        <w:t xml:space="preserve"> </w:t>
      </w:r>
      <w:r>
        <w:rPr>
          <w:i/>
          <w:iCs/>
        </w:rPr>
        <w:t xml:space="preserve">137</w:t>
      </w:r>
      <w:r>
        <w:t xml:space="preserve">(38), 49220.</w:t>
      </w:r>
      <w:r>
        <w:t xml:space="preserve"> </w:t>
      </w:r>
      <w:hyperlink r:id="rId198">
        <w:r>
          <w:rPr>
            <w:rStyle w:val="Hyperlink"/>
          </w:rPr>
          <w:t xml:space="preserve">https://doi.org/10.1002/app.49220</w:t>
        </w:r>
      </w:hyperlink>
    </w:p>
    <w:bookmarkEnd w:id="199"/>
    <w:bookmarkStart w:id="201" w:name="ref-Ray2002"/>
    <w:p>
      <w:pPr>
        <w:pStyle w:val="Bibliografia"/>
      </w:pPr>
      <w:r>
        <w:t xml:space="preserve">Ray, D., Sarkar, B. K., Basak, R. K., &amp; Rana, A. K. (2002). Study of the thermal behavior of alkali-treated jute fibers.</w:t>
      </w:r>
      <w:r>
        <w:t xml:space="preserve"> </w:t>
      </w:r>
      <w:r>
        <w:rPr>
          <w:i/>
          <w:iCs/>
        </w:rPr>
        <w:t xml:space="preserve">Journal of Applied Polymer Science</w:t>
      </w:r>
      <w:r>
        <w:t xml:space="preserve">,</w:t>
      </w:r>
      <w:r>
        <w:t xml:space="preserve"> </w:t>
      </w:r>
      <w:r>
        <w:rPr>
          <w:i/>
          <w:iCs/>
        </w:rPr>
        <w:t xml:space="preserve">85</w:t>
      </w:r>
      <w:r>
        <w:t xml:space="preserve">, 2594–2599.</w:t>
      </w:r>
      <w:r>
        <w:t xml:space="preserve"> </w:t>
      </w:r>
      <w:hyperlink r:id="rId200">
        <w:r>
          <w:rPr>
            <w:rStyle w:val="Hyperlink"/>
          </w:rPr>
          <w:t xml:space="preserve">https://doi.org/10.1002/app.10934</w:t>
        </w:r>
      </w:hyperlink>
    </w:p>
    <w:bookmarkEnd w:id="201"/>
    <w:bookmarkStart w:id="203" w:name="ref-rocha2009"/>
    <w:p>
      <w:pPr>
        <w:pStyle w:val="Bibliografia"/>
      </w:pPr>
      <w:r>
        <w:t xml:space="preserve">Rocha, A. V., &amp; Goulden, M. L. (2009). Why is marsh productivity so high? New insights from eddy covariance and biomass measurements in a Typha marsh.</w:t>
      </w:r>
      <w:r>
        <w:t xml:space="preserve"> </w:t>
      </w:r>
      <w:r>
        <w:rPr>
          <w:i/>
          <w:iCs/>
        </w:rPr>
        <w:t xml:space="preserve">Agricultural and Forest Meteorology</w:t>
      </w:r>
      <w:r>
        <w:t xml:space="preserve">,</w:t>
      </w:r>
      <w:r>
        <w:t xml:space="preserve"> </w:t>
      </w:r>
      <w:r>
        <w:rPr>
          <w:i/>
          <w:iCs/>
        </w:rPr>
        <w:t xml:space="preserve">149</w:t>
      </w:r>
      <w:r>
        <w:t xml:space="preserve">(1), 159–168. https://doi.org/</w:t>
      </w:r>
      <w:hyperlink r:id="rId202">
        <w:r>
          <w:rPr>
            <w:rStyle w:val="Hyperlink"/>
          </w:rPr>
          <w:t xml:space="preserve">https://doi.org/10.1016/j.agrformet.2008.07.010</w:t>
        </w:r>
      </w:hyperlink>
    </w:p>
    <w:bookmarkEnd w:id="203"/>
    <w:bookmarkStart w:id="205" w:name="ref-Rodriguez2023"/>
    <w:p>
      <w:pPr>
        <w:pStyle w:val="Bibliografia"/>
      </w:pPr>
      <w:r>
        <w:t xml:space="preserve">Rodríguez, A. et al.</w:t>
      </w:r>
      <w:r>
        <w:t xml:space="preserve"> (2023). Investigation of the Protective Function of a Lignin Coating of Natural Fiber Geotextiles against Biodegradation.</w:t>
      </w:r>
      <w:r>
        <w:t xml:space="preserve"> </w:t>
      </w:r>
      <w:r>
        <w:rPr>
          <w:i/>
          <w:iCs/>
        </w:rPr>
        <w:t xml:space="preserve">Materials</w:t>
      </w:r>
      <w:r>
        <w:t xml:space="preserve">,</w:t>
      </w:r>
      <w:r>
        <w:t xml:space="preserve"> </w:t>
      </w:r>
      <w:r>
        <w:rPr>
          <w:i/>
          <w:iCs/>
        </w:rPr>
        <w:t xml:space="preserve">16</w:t>
      </w:r>
      <w:r>
        <w:t xml:space="preserve">(13), 4849.</w:t>
      </w:r>
      <w:r>
        <w:t xml:space="preserve"> </w:t>
      </w:r>
      <w:hyperlink r:id="rId204">
        <w:r>
          <w:rPr>
            <w:rStyle w:val="Hyperlink"/>
          </w:rPr>
          <w:t xml:space="preserve">https://doi.org/10.3390/ma16134849</w:t>
        </w:r>
      </w:hyperlink>
    </w:p>
    <w:bookmarkEnd w:id="205"/>
    <w:bookmarkStart w:id="207" w:name="ref-Rowell1998"/>
    <w:p>
      <w:pPr>
        <w:pStyle w:val="Bibliografia"/>
      </w:pPr>
      <w:r>
        <w:t xml:space="preserve">Rowell, R. M., Pettersen, R., Han, J. S., Rowell, J. S., &amp; Tshabalala, M. A. (1998).</w:t>
      </w:r>
      <w:r>
        <w:t xml:space="preserve"> </w:t>
      </w:r>
      <w:r>
        <w:rPr>
          <w:i/>
          <w:iCs/>
        </w:rPr>
        <w:t xml:space="preserve">Cellulose, hemicellulose, and lignin in wood</w:t>
      </w:r>
      <w:r>
        <w:t xml:space="preserve">. CRC Press.</w:t>
      </w:r>
      <w:r>
        <w:t xml:space="preserve"> </w:t>
      </w:r>
      <w:hyperlink r:id="rId206">
        <w:r>
          <w:rPr>
            <w:rStyle w:val="Hyperlink"/>
          </w:rPr>
          <w:t xml:space="preserve">https://doi.org/10.1201/9780203913456</w:t>
        </w:r>
      </w:hyperlink>
    </w:p>
    <w:bookmarkEnd w:id="207"/>
    <w:bookmarkStart w:id="208" w:name="ref-Santos2023_PatenteTaboa"/>
    <w:p>
      <w:pPr>
        <w:pStyle w:val="Bibliografia"/>
      </w:pPr>
      <w:r>
        <w:t xml:space="preserve">Santos, L. D. V. e. colaboradores. (2023). Geotêxtil natural de taboa impermeabilizado: processos e aplicações.</w:t>
      </w:r>
      <w:r>
        <w:t xml:space="preserve"> </w:t>
      </w:r>
      <w:r>
        <w:rPr>
          <w:i/>
          <w:iCs/>
        </w:rPr>
        <w:t xml:space="preserve">Em publicação</w:t>
      </w:r>
      <w:r>
        <w:t xml:space="preserve">.</w:t>
      </w:r>
    </w:p>
    <w:bookmarkEnd w:id="208"/>
    <w:bookmarkStart w:id="209" w:name="ref-Santos2023_GeocompostosTypha"/>
    <w:p>
      <w:pPr>
        <w:pStyle w:val="Bibliografia"/>
      </w:pPr>
      <w:r>
        <w:t xml:space="preserve">Santos, L. D. V., &amp; colaboradores</w:t>
      </w:r>
      <w:r>
        <w:t xml:space="preserve">. (2023). Geocompostos de Typha domingensis: desempenho mecânico e resistência à biodegradação.</w:t>
      </w:r>
      <w:r>
        <w:t xml:space="preserve"> </w:t>
      </w:r>
      <w:r>
        <w:rPr>
          <w:i/>
          <w:iCs/>
        </w:rPr>
        <w:t xml:space="preserve">Em publicação</w:t>
      </w:r>
      <w:r>
        <w:t xml:space="preserve">.</w:t>
      </w:r>
    </w:p>
    <w:bookmarkEnd w:id="209"/>
    <w:bookmarkStart w:id="211" w:name="ref-Santos2025"/>
    <w:p>
      <w:pPr>
        <w:pStyle w:val="Bibliografia"/>
      </w:pPr>
      <w:r>
        <w:t xml:space="preserve">Santos, L. D. V., Holanda, F. S. R., Filho, J. J. M. B., Oliveira, W. F., Silva, E. G. da, Sussuchi, E. M., Griza, S., &amp; Menezes, C. T. de. (2025). Analysis of fracture characteristics and biodegradation resistance of natural fibers geotextiles from Typha domingensis, Eleocharis sp., and Syagrus coronata, under waterproofing Resin.</w:t>
      </w:r>
      <w:r>
        <w:t xml:space="preserve"> </w:t>
      </w:r>
      <w:r>
        <w:rPr>
          <w:i/>
          <w:iCs/>
        </w:rPr>
        <w:t xml:space="preserve">Discover Applied Sciences</w:t>
      </w:r>
      <w:r>
        <w:t xml:space="preserve">,</w:t>
      </w:r>
      <w:r>
        <w:t xml:space="preserve"> </w:t>
      </w:r>
      <w:r>
        <w:rPr>
          <w:i/>
          <w:iCs/>
        </w:rPr>
        <w:t xml:space="preserve">7</w:t>
      </w:r>
      <w:r>
        <w:t xml:space="preserve">(7), 751.</w:t>
      </w:r>
      <w:r>
        <w:t xml:space="preserve"> </w:t>
      </w:r>
      <w:hyperlink r:id="rId210">
        <w:r>
          <w:rPr>
            <w:rStyle w:val="Hyperlink"/>
          </w:rPr>
          <w:t xml:space="preserve">https://doi.org/10.1007/s42452-025-06594-1</w:t>
        </w:r>
      </w:hyperlink>
    </w:p>
    <w:bookmarkEnd w:id="211"/>
    <w:bookmarkStart w:id="213" w:name="ref-Schneider2023"/>
    <w:p>
      <w:pPr>
        <w:pStyle w:val="Bibliografia"/>
      </w:pPr>
      <w:r>
        <w:t xml:space="preserve">Schneider, L. et al.</w:t>
      </w:r>
      <w:r>
        <w:t xml:space="preserve"> (2023). Biodegradation Properties of Cellulose Fibers and PLA Biopolymer.</w:t>
      </w:r>
      <w:r>
        <w:t xml:space="preserve"> </w:t>
      </w:r>
      <w:r>
        <w:rPr>
          <w:i/>
          <w:iCs/>
        </w:rPr>
        <w:t xml:space="preserve">Polymers</w:t>
      </w:r>
      <w:r>
        <w:t xml:space="preserve">,</w:t>
      </w:r>
      <w:r>
        <w:t xml:space="preserve"> </w:t>
      </w:r>
      <w:r>
        <w:rPr>
          <w:i/>
          <w:iCs/>
        </w:rPr>
        <w:t xml:space="preserve">15</w:t>
      </w:r>
      <w:r>
        <w:t xml:space="preserve">(17), 3532.</w:t>
      </w:r>
      <w:r>
        <w:t xml:space="preserve"> </w:t>
      </w:r>
      <w:hyperlink r:id="rId212">
        <w:r>
          <w:rPr>
            <w:rStyle w:val="Hyperlink"/>
          </w:rPr>
          <w:t xml:space="preserve">https://doi.org/10.3390/polym15173532</w:t>
        </w:r>
      </w:hyperlink>
    </w:p>
    <w:bookmarkEnd w:id="213"/>
    <w:bookmarkStart w:id="215" w:name="ref-Segal1959"/>
    <w:p>
      <w:pPr>
        <w:pStyle w:val="Bibliografia"/>
      </w:pPr>
      <w:r>
        <w:t xml:space="preserve">Segal, L., Creely, J. J., Martin Jr., A. E., &amp; Conrad, C. M. (1959). An empirical method for estimating the degree of crystallinity of native cellulose using the</w:t>
      </w:r>
      <w:r>
        <w:t xml:space="preserve"> </w:t>
      </w:r>
      <w:r>
        <w:t xml:space="preserve">X-ray</w:t>
      </w:r>
      <w:r>
        <w:t xml:space="preserve"> </w:t>
      </w:r>
      <w:r>
        <w:t xml:space="preserve">diffractometer.</w:t>
      </w:r>
      <w:r>
        <w:t xml:space="preserve"> </w:t>
      </w:r>
      <w:r>
        <w:rPr>
          <w:i/>
          <w:iCs/>
        </w:rPr>
        <w:t xml:space="preserve">Textile Research Journal</w:t>
      </w:r>
      <w:r>
        <w:t xml:space="preserve">,</w:t>
      </w:r>
      <w:r>
        <w:t xml:space="preserve"> </w:t>
      </w:r>
      <w:r>
        <w:rPr>
          <w:i/>
          <w:iCs/>
        </w:rPr>
        <w:t xml:space="preserve">29</w:t>
      </w:r>
      <w:r>
        <w:t xml:space="preserve">(10), 786–794.</w:t>
      </w:r>
      <w:r>
        <w:t xml:space="preserve"> </w:t>
      </w:r>
      <w:hyperlink r:id="rId214">
        <w:r>
          <w:rPr>
            <w:rStyle w:val="Hyperlink"/>
          </w:rPr>
          <w:t xml:space="preserve">https://doi.org/10.1177/004051755902901003</w:t>
        </w:r>
      </w:hyperlink>
    </w:p>
    <w:bookmarkEnd w:id="215"/>
    <w:bookmarkStart w:id="217" w:name="ref-Shaghaleh2018"/>
    <w:p>
      <w:pPr>
        <w:pStyle w:val="Bibliografia"/>
      </w:pPr>
      <w:r>
        <w:t xml:space="preserve">Shaghaleh, H., Xu, X., &amp; Wang, S. (2018). Current progress in production of biopolymeric materials based on cellulose, cellulose nanofibers, and cellulose derivatives.</w:t>
      </w:r>
      <w:r>
        <w:t xml:space="preserve"> </w:t>
      </w:r>
      <w:r>
        <w:rPr>
          <w:i/>
          <w:iCs/>
        </w:rPr>
        <w:t xml:space="preserve">RSC Advances</w:t>
      </w:r>
      <w:r>
        <w:t xml:space="preserve">,</w:t>
      </w:r>
      <w:r>
        <w:t xml:space="preserve"> </w:t>
      </w:r>
      <w:r>
        <w:rPr>
          <w:i/>
          <w:iCs/>
        </w:rPr>
        <w:t xml:space="preserve">8</w:t>
      </w:r>
      <w:r>
        <w:t xml:space="preserve">, 825–842.</w:t>
      </w:r>
      <w:r>
        <w:t xml:space="preserve"> </w:t>
      </w:r>
      <w:hyperlink r:id="rId216">
        <w:r>
          <w:rPr>
            <w:rStyle w:val="Hyperlink"/>
          </w:rPr>
          <w:t xml:space="preserve">https://doi.org/10.1039/C7RA11157F</w:t>
        </w:r>
      </w:hyperlink>
    </w:p>
    <w:bookmarkEnd w:id="217"/>
    <w:bookmarkStart w:id="219" w:name="ref-Shimizu2012"/>
    <w:p>
      <w:pPr>
        <w:pStyle w:val="Bibliografia"/>
      </w:pPr>
      <w:r>
        <w:t xml:space="preserve">Shimizu, S., Yokoyama, T., Akiyama, T., &amp; Matsumoto, Y. (2012). Reactivity of Lignin with Different Composition of Aromatic Syringyl/Guaiacyl Structures and Erythro / Threo Side Chain Structures in β- O -4 Type during Alkaline Delignification: As a Basis for the Different Degradability of Hardwood and Softwood Lignin.</w:t>
      </w:r>
      <w:r>
        <w:t xml:space="preserve"> </w:t>
      </w:r>
      <w:r>
        <w:rPr>
          <w:i/>
          <w:iCs/>
        </w:rPr>
        <w:t xml:space="preserve">Journal of Agricultural and Food Chemistry</w:t>
      </w:r>
      <w:r>
        <w:t xml:space="preserve">,</w:t>
      </w:r>
      <w:r>
        <w:t xml:space="preserve"> </w:t>
      </w:r>
      <w:r>
        <w:rPr>
          <w:i/>
          <w:iCs/>
        </w:rPr>
        <w:t xml:space="preserve">60</w:t>
      </w:r>
      <w:r>
        <w:t xml:space="preserve">, 6471–6476.</w:t>
      </w:r>
      <w:r>
        <w:t xml:space="preserve"> </w:t>
      </w:r>
      <w:hyperlink r:id="rId218">
        <w:r>
          <w:rPr>
            <w:rStyle w:val="Hyperlink"/>
          </w:rPr>
          <w:t xml:space="preserve">https://doi.org/10.1021/jf301329v</w:t>
        </w:r>
      </w:hyperlink>
    </w:p>
    <w:bookmarkEnd w:id="219"/>
    <w:bookmarkStart w:id="221" w:name="ref-Sickfeld1983"/>
    <w:p>
      <w:pPr>
        <w:pStyle w:val="Bibliografia"/>
      </w:pPr>
      <w:r>
        <w:t xml:space="preserve">Sickfeld, J. (1983).</w:t>
      </w:r>
      <w:r>
        <w:t xml:space="preserve"> </w:t>
      </w:r>
      <w:r>
        <w:rPr>
          <w:i/>
          <w:iCs/>
        </w:rPr>
        <w:t xml:space="preserve">Pull-off test, an internationally standardized method for adhesion testing—assessment of the relevance of test results</w:t>
      </w:r>
      <w:r>
        <w:t xml:space="preserve">. 543–567.</w:t>
      </w:r>
      <w:r>
        <w:t xml:space="preserve"> </w:t>
      </w:r>
      <w:hyperlink r:id="rId220">
        <w:r>
          <w:rPr>
            <w:rStyle w:val="Hyperlink"/>
          </w:rPr>
          <w:t xml:space="preserve">https://doi.org/10.1007/978-1-4613-3658-7_32</w:t>
        </w:r>
      </w:hyperlink>
    </w:p>
    <w:bookmarkEnd w:id="221"/>
    <w:bookmarkStart w:id="222" w:name="ref-Silva2025"/>
    <w:p>
      <w:pPr>
        <w:pStyle w:val="Bibliografia"/>
      </w:pPr>
      <w:r>
        <w:t xml:space="preserve">Silva, A. et al.</w:t>
      </w:r>
      <w:r>
        <w:t xml:space="preserve"> (2025). Analysis of fracture characteristics and biodegradation resistance of natural fibers geotextiles from Typha domingensis, Eleocharis sp., and Syagrus coronata, under waterproofing Resin.</w:t>
      </w:r>
      <w:r>
        <w:t xml:space="preserve"> </w:t>
      </w:r>
      <w:r>
        <w:rPr>
          <w:i/>
          <w:iCs/>
        </w:rPr>
        <w:t xml:space="preserve">SN Applied Sciences</w:t>
      </w:r>
      <w:r>
        <w:t xml:space="preserve">.</w:t>
      </w:r>
      <w:r>
        <w:t xml:space="preserve"> </w:t>
      </w:r>
      <w:hyperlink r:id="rId210">
        <w:r>
          <w:rPr>
            <w:rStyle w:val="Hyperlink"/>
          </w:rPr>
          <w:t xml:space="preserve">https://doi.org/10.1007/s42452-025-06594-1</w:t>
        </w:r>
      </w:hyperlink>
    </w:p>
    <w:bookmarkEnd w:id="222"/>
    <w:bookmarkStart w:id="224" w:name="ref-Singh2022"/>
    <w:p>
      <w:pPr>
        <w:pStyle w:val="Bibliografia"/>
      </w:pPr>
      <w:r>
        <w:t xml:space="preserve">Singh, A. P., Kim, Y. S., &amp; Chavan, R. R. (2022). Advances in Understanding Microbial Deterioration of Buried and Waterlogged Archaeological Woods: A Review.</w:t>
      </w:r>
      <w:r>
        <w:t xml:space="preserve"> </w:t>
      </w:r>
      <w:r>
        <w:rPr>
          <w:i/>
          <w:iCs/>
        </w:rPr>
        <w:t xml:space="preserve">Forests</w:t>
      </w:r>
      <w:r>
        <w:t xml:space="preserve">,</w:t>
      </w:r>
      <w:r>
        <w:t xml:space="preserve"> </w:t>
      </w:r>
      <w:r>
        <w:rPr>
          <w:i/>
          <w:iCs/>
        </w:rPr>
        <w:t xml:space="preserve">13</w:t>
      </w:r>
      <w:r>
        <w:t xml:space="preserve">, 394.</w:t>
      </w:r>
      <w:r>
        <w:t xml:space="preserve"> </w:t>
      </w:r>
      <w:hyperlink r:id="rId223">
        <w:r>
          <w:rPr>
            <w:rStyle w:val="Hyperlink"/>
          </w:rPr>
          <w:t xml:space="preserve">https://doi.org/10.3390/f13030394</w:t>
        </w:r>
      </w:hyperlink>
    </w:p>
    <w:bookmarkEnd w:id="224"/>
    <w:bookmarkStart w:id="226" w:name="ref-Singh2024_vetiver"/>
    <w:p>
      <w:pPr>
        <w:pStyle w:val="Bibliografia"/>
      </w:pPr>
      <w:r>
        <w:t xml:space="preserve">Singh, R. et al.</w:t>
      </w:r>
      <w:r>
        <w:t xml:space="preserve"> (2024). Mechanical and biodegradation analysis under various environmental conditions of the waste vetiver root fiber reinforced soy composite.</w:t>
      </w:r>
      <w:r>
        <w:t xml:space="preserve"> </w:t>
      </w:r>
      <w:r>
        <w:rPr>
          <w:i/>
          <w:iCs/>
        </w:rPr>
        <w:t xml:space="preserve">Polymers for Advanced Technologies</w:t>
      </w:r>
      <w:r>
        <w:t xml:space="preserve">.</w:t>
      </w:r>
      <w:r>
        <w:t xml:space="preserve"> </w:t>
      </w:r>
      <w:hyperlink r:id="rId225">
        <w:r>
          <w:rPr>
            <w:rStyle w:val="Hyperlink"/>
          </w:rPr>
          <w:t xml:space="preserve">https://doi.org/10.1002/pi.6664</w:t>
        </w:r>
      </w:hyperlink>
    </w:p>
    <w:bookmarkEnd w:id="226"/>
    <w:bookmarkStart w:id="228" w:name="ref-Sodagar2025"/>
    <w:p>
      <w:pPr>
        <w:pStyle w:val="Bibliografia"/>
      </w:pPr>
      <w:r>
        <w:t xml:space="preserve">Sodagar, M., Lagrou, N. E., &amp; Gries, T. (2025). Tensile Strength Characterization of Alkaline-Treated and Untreated Banana Fibres Using Weibull Statistics.</w:t>
      </w:r>
      <w:r>
        <w:t xml:space="preserve"> </w:t>
      </w:r>
      <w:r>
        <w:rPr>
          <w:i/>
          <w:iCs/>
        </w:rPr>
        <w:t xml:space="preserve">Materials</w:t>
      </w:r>
      <w:r>
        <w:t xml:space="preserve">,</w:t>
      </w:r>
      <w:r>
        <w:t xml:space="preserve"> </w:t>
      </w:r>
      <w:r>
        <w:rPr>
          <w:i/>
          <w:iCs/>
        </w:rPr>
        <w:t xml:space="preserve">18</w:t>
      </w:r>
      <w:r>
        <w:t xml:space="preserve">, 4833.</w:t>
      </w:r>
      <w:r>
        <w:t xml:space="preserve"> </w:t>
      </w:r>
      <w:hyperlink r:id="rId227">
        <w:r>
          <w:rPr>
            <w:rStyle w:val="Hyperlink"/>
          </w:rPr>
          <w:t xml:space="preserve">https://doi.org/10.3390/ma18214833</w:t>
        </w:r>
      </w:hyperlink>
    </w:p>
    <w:bookmarkEnd w:id="228"/>
    <w:bookmarkStart w:id="230" w:name="ref-Souza2019"/>
    <w:p>
      <w:pPr>
        <w:pStyle w:val="Bibliografia"/>
      </w:pPr>
      <w:r>
        <w:t xml:space="preserve">Souza, T. A., Santos, C. B., &amp; Lima, J. T. (2019). Spatial distribution of lignin content in the cellular wall of Eucalyptus grandis wood.</w:t>
      </w:r>
      <w:r>
        <w:t xml:space="preserve"> </w:t>
      </w:r>
      <w:r>
        <w:rPr>
          <w:i/>
          <w:iCs/>
        </w:rPr>
        <w:t xml:space="preserve">Scientia Forestalis</w:t>
      </w:r>
      <w:r>
        <w:t xml:space="preserve">,</w:t>
      </w:r>
      <w:r>
        <w:t xml:space="preserve"> </w:t>
      </w:r>
      <w:r>
        <w:rPr>
          <w:i/>
          <w:iCs/>
        </w:rPr>
        <w:t xml:space="preserve">47</w:t>
      </w:r>
      <w:r>
        <w:t xml:space="preserve">(121), 167–176.</w:t>
      </w:r>
      <w:r>
        <w:t xml:space="preserve"> </w:t>
      </w:r>
      <w:hyperlink r:id="rId229">
        <w:r>
          <w:rPr>
            <w:rStyle w:val="Hyperlink"/>
          </w:rPr>
          <w:t xml:space="preserve">https://www.ipef.br/publicacoes/scientia/nr121/cap12.pdf</w:t>
        </w:r>
      </w:hyperlink>
    </w:p>
    <w:bookmarkEnd w:id="230"/>
    <w:bookmarkStart w:id="232" w:name="ref-SzymanskaChargot2015"/>
    <w:p>
      <w:pPr>
        <w:pStyle w:val="Bibliografia"/>
      </w:pPr>
      <w:r>
        <w:t xml:space="preserve">Szymańska-Chargot, M., Cybulska, J., &amp; Zdunek, A. (2015). Sensing the structural differences in cellulose from apple parenchyma and carrot parenchyma using FT-IR and FT-Raman spectroscopy.</w:t>
      </w:r>
      <w:r>
        <w:t xml:space="preserve"> </w:t>
      </w:r>
      <w:r>
        <w:rPr>
          <w:i/>
          <w:iCs/>
        </w:rPr>
        <w:t xml:space="preserve">Cellulose</w:t>
      </w:r>
      <w:r>
        <w:t xml:space="preserve">,</w:t>
      </w:r>
      <w:r>
        <w:t xml:space="preserve"> </w:t>
      </w:r>
      <w:r>
        <w:rPr>
          <w:i/>
          <w:iCs/>
        </w:rPr>
        <w:t xml:space="preserve">22</w:t>
      </w:r>
      <w:r>
        <w:t xml:space="preserve">, 961–981.</w:t>
      </w:r>
      <w:r>
        <w:t xml:space="preserve"> </w:t>
      </w:r>
      <w:hyperlink r:id="rId231">
        <w:r>
          <w:rPr>
            <w:rStyle w:val="Hyperlink"/>
          </w:rPr>
          <w:t xml:space="preserve">https://doi.org/10.1007/s10570-014-0543-6</w:t>
        </w:r>
      </w:hyperlink>
    </w:p>
    <w:bookmarkEnd w:id="232"/>
    <w:bookmarkStart w:id="234" w:name="ref-Thakur2019"/>
    <w:p>
      <w:pPr>
        <w:pStyle w:val="Bibliografia"/>
      </w:pPr>
      <w:r>
        <w:t xml:space="preserve">Thakur, R. N., Gupta, S. K., Sinha, A., Chawla, S., &amp; Vadavadagi, S. S. (2019). A Durability Study of Jute Geotextile Treated with Bitumen Emulsion.</w:t>
      </w:r>
      <w:r>
        <w:t xml:space="preserve"> </w:t>
      </w:r>
      <w:r>
        <w:rPr>
          <w:i/>
          <w:iCs/>
        </w:rPr>
        <w:t xml:space="preserve">Journal of Natural Fibers</w:t>
      </w:r>
      <w:r>
        <w:t xml:space="preserve">, 1–19.</w:t>
      </w:r>
      <w:r>
        <w:t xml:space="preserve"> </w:t>
      </w:r>
      <w:hyperlink r:id="rId233">
        <w:r>
          <w:rPr>
            <w:rStyle w:val="Hyperlink"/>
          </w:rPr>
          <w:t xml:space="preserve">https://doi.org/10.1080/15440478.2019.1623749</w:t>
        </w:r>
      </w:hyperlink>
    </w:p>
    <w:bookmarkEnd w:id="234"/>
    <w:bookmarkStart w:id="235" w:name="ref-VanSoest1963"/>
    <w:p>
      <w:pPr>
        <w:pStyle w:val="Bibliografia"/>
      </w:pPr>
      <w:r>
        <w:t xml:space="preserve">Van Soest, P. J. (1963). Use of detergents in the analysis of fibrous feeds.</w:t>
      </w:r>
      <w:r>
        <w:t xml:space="preserve"> </w:t>
      </w:r>
      <w:r>
        <w:t xml:space="preserve">II</w:t>
      </w:r>
      <w:r>
        <w:t xml:space="preserve">.</w:t>
      </w:r>
      <w:r>
        <w:t xml:space="preserve"> </w:t>
      </w:r>
      <w:r>
        <w:t xml:space="preserve">A</w:t>
      </w:r>
      <w:r>
        <w:t xml:space="preserve"> </w:t>
      </w:r>
      <w:r>
        <w:t xml:space="preserve">rapid method for the determination of fiber and lignin.</w:t>
      </w:r>
      <w:r>
        <w:t xml:space="preserve"> </w:t>
      </w:r>
      <w:r>
        <w:rPr>
          <w:i/>
          <w:iCs/>
        </w:rPr>
        <w:t xml:space="preserve">Journal of the Association of Official Agricultural Chemists</w:t>
      </w:r>
      <w:r>
        <w:t xml:space="preserve">,</w:t>
      </w:r>
      <w:r>
        <w:t xml:space="preserve"> </w:t>
      </w:r>
      <w:r>
        <w:rPr>
          <w:i/>
          <w:iCs/>
        </w:rPr>
        <w:t xml:space="preserve">46</w:t>
      </w:r>
      <w:r>
        <w:t xml:space="preserve">(5), 829–835.</w:t>
      </w:r>
    </w:p>
    <w:bookmarkEnd w:id="235"/>
    <w:bookmarkStart w:id="237" w:name="ref-VanVuuren2011"/>
    <w:p>
      <w:pPr>
        <w:pStyle w:val="Bibliografia"/>
      </w:pPr>
      <w:r>
        <w:t xml:space="preserve">Van Vuuren, D. P., Edmonds, J., Kainuma, M., Riahi, K., Thomson, A., Hibbard, K., Hurtt, G. C., Kram, T., Krey, V., Lamarque, J. F., Masui, T., Meinshausen, M., Nakicenovic, N., Smith, S. J., &amp; Rose, S. K. (2011). The representative concentration pathways: an overview.</w:t>
      </w:r>
      <w:r>
        <w:t xml:space="preserve"> </w:t>
      </w:r>
      <w:r>
        <w:rPr>
          <w:i/>
          <w:iCs/>
        </w:rPr>
        <w:t xml:space="preserve">Climatic Change</w:t>
      </w:r>
      <w:r>
        <w:t xml:space="preserve">,</w:t>
      </w:r>
      <w:r>
        <w:t xml:space="preserve"> </w:t>
      </w:r>
      <w:r>
        <w:rPr>
          <w:i/>
          <w:iCs/>
        </w:rPr>
        <w:t xml:space="preserve">109</w:t>
      </w:r>
      <w:r>
        <w:t xml:space="preserve">(1), 5–31.</w:t>
      </w:r>
      <w:r>
        <w:t xml:space="preserve"> </w:t>
      </w:r>
      <w:hyperlink r:id="rId236">
        <w:r>
          <w:rPr>
            <w:rStyle w:val="Hyperlink"/>
          </w:rPr>
          <w:t xml:space="preserve">https://doi.org/10.1007/s10584-011-0148-z</w:t>
        </w:r>
      </w:hyperlink>
    </w:p>
    <w:bookmarkEnd w:id="237"/>
    <w:bookmarkStart w:id="239" w:name="ref-Vannoppen2017"/>
    <w:p>
      <w:pPr>
        <w:pStyle w:val="Bibliografia"/>
      </w:pPr>
      <w:r>
        <w:t xml:space="preserve">Vannoppen, W., De Baets, S., Keeble, J., Dong, Y., &amp; Poesen, J. (2017). How do root and soil characteristics affect the erosion-reducing potential of plant species?</w:t>
      </w:r>
      <w:r>
        <w:t xml:space="preserve"> </w:t>
      </w:r>
      <w:r>
        <w:rPr>
          <w:i/>
          <w:iCs/>
        </w:rPr>
        <w:t xml:space="preserve">Ecological Engineering</w:t>
      </w:r>
      <w:r>
        <w:t xml:space="preserve">,</w:t>
      </w:r>
      <w:r>
        <w:t xml:space="preserve"> </w:t>
      </w:r>
      <w:r>
        <w:rPr>
          <w:i/>
          <w:iCs/>
        </w:rPr>
        <w:t xml:space="preserve">109</w:t>
      </w:r>
      <w:r>
        <w:t xml:space="preserve">, 186–195.</w:t>
      </w:r>
      <w:r>
        <w:t xml:space="preserve"> </w:t>
      </w:r>
      <w:hyperlink r:id="rId238">
        <w:r>
          <w:rPr>
            <w:rStyle w:val="Hyperlink"/>
          </w:rPr>
          <w:t xml:space="preserve">https://doi.org/10.1016/j.ecoleng.2017.08.001</w:t>
        </w:r>
      </w:hyperlink>
    </w:p>
    <w:bookmarkEnd w:id="239"/>
    <w:bookmarkStart w:id="241" w:name="ref-Verma2021"/>
    <w:p>
      <w:pPr>
        <w:pStyle w:val="Bibliografia"/>
      </w:pPr>
      <w:r>
        <w:t xml:space="preserve">Verma, D., &amp; Goh, K. L. (2021). Effect of Mercerization/Alkali Surface Treatment of Natural Fibres and Their Utilization in Polymer Composites: Mechanical and Morphological Studies.</w:t>
      </w:r>
      <w:r>
        <w:t xml:space="preserve"> </w:t>
      </w:r>
      <w:r>
        <w:rPr>
          <w:i/>
          <w:iCs/>
        </w:rPr>
        <w:t xml:space="preserve">Journal of Composites Science</w:t>
      </w:r>
      <w:r>
        <w:t xml:space="preserve">,</w:t>
      </w:r>
      <w:r>
        <w:t xml:space="preserve"> </w:t>
      </w:r>
      <w:r>
        <w:rPr>
          <w:i/>
          <w:iCs/>
        </w:rPr>
        <w:t xml:space="preserve">5</w:t>
      </w:r>
      <w:r>
        <w:t xml:space="preserve">, 175.</w:t>
      </w:r>
      <w:r>
        <w:t xml:space="preserve"> </w:t>
      </w:r>
      <w:hyperlink r:id="rId240">
        <w:r>
          <w:rPr>
            <w:rStyle w:val="Hyperlink"/>
          </w:rPr>
          <w:t xml:space="preserve">https://doi.org/10.3390/jcs5070175</w:t>
        </w:r>
      </w:hyperlink>
    </w:p>
    <w:bookmarkEnd w:id="241"/>
    <w:bookmarkStart w:id="243" w:name="ref-Veylon2015"/>
    <w:p>
      <w:pPr>
        <w:pStyle w:val="Bibliografia"/>
      </w:pPr>
      <w:r>
        <w:t xml:space="preserve">Veylon, G., Ghestem, M., Stokes, A., &amp; Bernard, A. (2015). Quantification of mechanical and hydric components of soil reinforcement by plant roots.</w:t>
      </w:r>
      <w:r>
        <w:t xml:space="preserve"> </w:t>
      </w:r>
      <w:r>
        <w:rPr>
          <w:i/>
          <w:iCs/>
        </w:rPr>
        <w:t xml:space="preserve">Canadian Geotechnical Journal</w:t>
      </w:r>
      <w:r>
        <w:t xml:space="preserve">,</w:t>
      </w:r>
      <w:r>
        <w:t xml:space="preserve"> </w:t>
      </w:r>
      <w:r>
        <w:rPr>
          <w:i/>
          <w:iCs/>
        </w:rPr>
        <w:t xml:space="preserve">52</w:t>
      </w:r>
      <w:r>
        <w:t xml:space="preserve">, 150428143438008.</w:t>
      </w:r>
      <w:r>
        <w:t xml:space="preserve"> </w:t>
      </w:r>
      <w:hyperlink r:id="rId242">
        <w:r>
          <w:rPr>
            <w:rStyle w:val="Hyperlink"/>
          </w:rPr>
          <w:t xml:space="preserve">https://doi.org/10.1139/cgj-2014-0090</w:t>
        </w:r>
      </w:hyperlink>
    </w:p>
    <w:bookmarkEnd w:id="243"/>
    <w:bookmarkStart w:id="245" w:name="ref-Vikman2002"/>
    <w:p>
      <w:pPr>
        <w:pStyle w:val="Bibliografia"/>
      </w:pPr>
      <w:r>
        <w:t xml:space="preserve">Vikman, M., Karjomaa, S., Kapanen, A., Wallenius, K., &amp; Itävaara, M. (2002). The influence of lignin content and temperature on the biodegradation of lignocellulose in composting conditions.</w:t>
      </w:r>
      <w:r>
        <w:t xml:space="preserve"> </w:t>
      </w:r>
      <w:r>
        <w:rPr>
          <w:i/>
          <w:iCs/>
        </w:rPr>
        <w:t xml:space="preserve">Applied Microbiology and Biotechnology</w:t>
      </w:r>
      <w:r>
        <w:t xml:space="preserve">,</w:t>
      </w:r>
      <w:r>
        <w:t xml:space="preserve"> </w:t>
      </w:r>
      <w:r>
        <w:rPr>
          <w:i/>
          <w:iCs/>
        </w:rPr>
        <w:t xml:space="preserve">59</w:t>
      </w:r>
      <w:r>
        <w:t xml:space="preserve">(4-5), 591–598.</w:t>
      </w:r>
      <w:r>
        <w:t xml:space="preserve"> </w:t>
      </w:r>
      <w:hyperlink r:id="rId244">
        <w:r>
          <w:rPr>
            <w:rStyle w:val="Hyperlink"/>
          </w:rPr>
          <w:t xml:space="preserve">https://doi.org/10.1007/s00253-002-1029-1</w:t>
        </w:r>
      </w:hyperlink>
    </w:p>
    <w:bookmarkEnd w:id="245"/>
    <w:bookmarkStart w:id="247" w:name="ref-deVries2010"/>
    <w:p>
      <w:pPr>
        <w:pStyle w:val="Bibliografia"/>
      </w:pPr>
      <w:r>
        <w:t xml:space="preserve">Vries, R. P. de, Battaglia, E., Coutinho, P. M., Henrissat, B., &amp; Visser, J. (2010). (Hemi-)Cellulose Degrading Enzymes and Their Encoding Genes from Aspergillus and Trichoderma. Em</w:t>
      </w:r>
      <w:r>
        <w:t xml:space="preserve"> </w:t>
      </w:r>
      <w:r>
        <w:rPr>
          <w:i/>
          <w:iCs/>
        </w:rPr>
        <w:t xml:space="preserve">Fungal Genomics and Biology</w:t>
      </w:r>
      <w:r>
        <w:t xml:space="preserve"> </w:t>
      </w:r>
      <w:r>
        <w:t xml:space="preserve">(p. 341–355). Springer.</w:t>
      </w:r>
      <w:r>
        <w:t xml:space="preserve"> </w:t>
      </w:r>
      <w:hyperlink r:id="rId246">
        <w:r>
          <w:rPr>
            <w:rStyle w:val="Hyperlink"/>
          </w:rPr>
          <w:t xml:space="preserve">https://doi.org/10.1007/978-3-642-11458-8_16</w:t>
        </w:r>
      </w:hyperlink>
    </w:p>
    <w:bookmarkEnd w:id="247"/>
    <w:bookmarkStart w:id="249" w:name="ref-Wang2022"/>
    <w:p>
      <w:pPr>
        <w:pStyle w:val="Bibliografia"/>
      </w:pPr>
      <w:r>
        <w:t xml:space="preserve">Wang, J., Zhou, H., Liu, Z., Peng, X., &amp; Zhou, H. (2022). Statistical modelling of tensile properties of natural fiber yarns considering probability distributions of fiber crimping and effective yarn elastic modulus.</w:t>
      </w:r>
      <w:r>
        <w:t xml:space="preserve"> </w:t>
      </w:r>
      <w:r>
        <w:rPr>
          <w:i/>
          <w:iCs/>
        </w:rPr>
        <w:t xml:space="preserve">Composites Science and Technology</w:t>
      </w:r>
      <w:r>
        <w:t xml:space="preserve">,</w:t>
      </w:r>
      <w:r>
        <w:t xml:space="preserve"> </w:t>
      </w:r>
      <w:r>
        <w:rPr>
          <w:i/>
          <w:iCs/>
        </w:rPr>
        <w:t xml:space="preserve">218</w:t>
      </w:r>
      <w:r>
        <w:t xml:space="preserve">, 109142.</w:t>
      </w:r>
      <w:r>
        <w:t xml:space="preserve"> </w:t>
      </w:r>
      <w:hyperlink r:id="rId248">
        <w:r>
          <w:rPr>
            <w:rStyle w:val="Hyperlink"/>
          </w:rPr>
          <w:t xml:space="preserve">https://doi.org/10.1016/j.compscitech.2021.109142</w:t>
        </w:r>
      </w:hyperlink>
    </w:p>
    <w:bookmarkEnd w:id="249"/>
    <w:bookmarkStart w:id="251" w:name="ref-Wu1979"/>
    <w:p>
      <w:pPr>
        <w:pStyle w:val="Bibliografia"/>
      </w:pPr>
      <w:r>
        <w:t xml:space="preserve">Wu, T. H., McKinnell III, W. P., &amp; Swanston, D. N. (1979). Strength of tree roots and landslides on Prince of Wales Island, Alaska.</w:t>
      </w:r>
      <w:r>
        <w:t xml:space="preserve"> </w:t>
      </w:r>
      <w:r>
        <w:rPr>
          <w:i/>
          <w:iCs/>
        </w:rPr>
        <w:t xml:space="preserve">Canadian Geotechnical Journal</w:t>
      </w:r>
      <w:r>
        <w:t xml:space="preserve">,</w:t>
      </w:r>
      <w:r>
        <w:t xml:space="preserve"> </w:t>
      </w:r>
      <w:r>
        <w:rPr>
          <w:i/>
          <w:iCs/>
        </w:rPr>
        <w:t xml:space="preserve">16</w:t>
      </w:r>
      <w:r>
        <w:t xml:space="preserve">, 19–33.</w:t>
      </w:r>
      <w:r>
        <w:t xml:space="preserve"> </w:t>
      </w:r>
      <w:hyperlink r:id="rId250">
        <w:r>
          <w:rPr>
            <w:rStyle w:val="Hyperlink"/>
          </w:rPr>
          <w:t xml:space="preserve">https://doi.org/10.1139/t79-003</w:t>
        </w:r>
      </w:hyperlink>
    </w:p>
    <w:bookmarkEnd w:id="251"/>
    <w:bookmarkStart w:id="253" w:name="ref-Wu2022"/>
    <w:p>
      <w:pPr>
        <w:pStyle w:val="Bibliografia"/>
      </w:pPr>
      <w:r>
        <w:t xml:space="preserve">Wu, Z., Peng, K., Zhang, Y., Wang, M., Yong, C., Chen, L., Qu, P., Huang, H., Sun, E., &amp; Pan, M. (2022). Lignocellulose dissociation with biological pretreatment towards the biochemical platform: A review.</w:t>
      </w:r>
      <w:r>
        <w:t xml:space="preserve"> </w:t>
      </w:r>
      <w:r>
        <w:rPr>
          <w:i/>
          <w:iCs/>
        </w:rPr>
        <w:t xml:space="preserve">Materials Today Bio</w:t>
      </w:r>
      <w:r>
        <w:t xml:space="preserve">,</w:t>
      </w:r>
      <w:r>
        <w:t xml:space="preserve"> </w:t>
      </w:r>
      <w:r>
        <w:rPr>
          <w:i/>
          <w:iCs/>
        </w:rPr>
        <w:t xml:space="preserve">16</w:t>
      </w:r>
      <w:r>
        <w:t xml:space="preserve">, 100445.</w:t>
      </w:r>
      <w:r>
        <w:t xml:space="preserve"> </w:t>
      </w:r>
      <w:hyperlink r:id="rId252">
        <w:r>
          <w:rPr>
            <w:rStyle w:val="Hyperlink"/>
          </w:rPr>
          <w:t xml:space="preserve">https://doi.org/10.1016/j.mtbio.2022.100445</w:t>
        </w:r>
      </w:hyperlink>
    </w:p>
    <w:bookmarkEnd w:id="253"/>
    <w:bookmarkStart w:id="255" w:name="ref-Xu2013"/>
    <w:p>
      <w:pPr>
        <w:pStyle w:val="Bibliografia"/>
      </w:pPr>
      <w:r>
        <w:t xml:space="preserve">Xu, F., Yu, J., Tesso, T., Dowell, F., &amp; Wang, D. (2013). Qualitative and quantitative analysis of lignocellulosic biomass using infrared techniques: A mini-review.</w:t>
      </w:r>
      <w:r>
        <w:t xml:space="preserve"> </w:t>
      </w:r>
      <w:r>
        <w:rPr>
          <w:i/>
          <w:iCs/>
        </w:rPr>
        <w:t xml:space="preserve">Applied Energy</w:t>
      </w:r>
      <w:r>
        <w:t xml:space="preserve">,</w:t>
      </w:r>
      <w:r>
        <w:t xml:space="preserve"> </w:t>
      </w:r>
      <w:r>
        <w:rPr>
          <w:i/>
          <w:iCs/>
        </w:rPr>
        <w:t xml:space="preserve">104</w:t>
      </w:r>
      <w:r>
        <w:t xml:space="preserve">, 801–809.</w:t>
      </w:r>
      <w:r>
        <w:t xml:space="preserve"> </w:t>
      </w:r>
      <w:hyperlink r:id="rId254">
        <w:r>
          <w:rPr>
            <w:rStyle w:val="Hyperlink"/>
          </w:rPr>
          <w:t xml:space="preserve">https://doi.org/10.1016/j.apenergy.2012.12.019</w:t>
        </w:r>
      </w:hyperlink>
    </w:p>
    <w:bookmarkEnd w:id="255"/>
    <w:bookmarkStart w:id="256" w:name="ref-Zambrano2020"/>
    <w:p>
      <w:pPr>
        <w:pStyle w:val="Bibliografia"/>
      </w:pPr>
      <w:r>
        <w:t xml:space="preserve">Zambrano, M. C., Pawlak, J. J., &amp; Venditti, R. A. (2020). Effects of chemical and morphological structure on biodegradability of fibers, fabrics, and other polymeric materials.</w:t>
      </w:r>
      <w:r>
        <w:t xml:space="preserve"> </w:t>
      </w:r>
      <w:r>
        <w:rPr>
          <w:i/>
          <w:iCs/>
        </w:rPr>
        <w:t xml:space="preserve">BioResources</w:t>
      </w:r>
      <w:r>
        <w:t xml:space="preserve">,</w:t>
      </w:r>
      <w:r>
        <w:t xml:space="preserve"> </w:t>
      </w:r>
      <w:r>
        <w:rPr>
          <w:i/>
          <w:iCs/>
        </w:rPr>
        <w:t xml:space="preserve">15</w:t>
      </w:r>
      <w:r>
        <w:t xml:space="preserve">(2), 4531–4574.</w:t>
      </w:r>
    </w:p>
    <w:bookmarkEnd w:id="256"/>
    <w:bookmarkEnd w:id="257"/>
    <w:bookmarkEnd w:id="258"/>
    <w:sectPr w:rsidR="000974DF" w:rsidSect="00BF78FB">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41" Target="media/rId41.png" /><Relationship Type="http://schemas.openxmlformats.org/officeDocument/2006/relationships/hyperlink" Id="rId188" Target="https://doi.org/10.1002/(SICI)1097-4628(19990307)71:12&lt;1969::AID-APP6&gt;3.0.CO;2-D" TargetMode="External" /><Relationship Type="http://schemas.openxmlformats.org/officeDocument/2006/relationships/hyperlink" Id="rId200" Target="https://doi.org/10.1002/app.10934" TargetMode="External" /><Relationship Type="http://schemas.openxmlformats.org/officeDocument/2006/relationships/hyperlink" Id="rId198" Target="https://doi.org/10.1002/app.49220" TargetMode="External" /><Relationship Type="http://schemas.openxmlformats.org/officeDocument/2006/relationships/hyperlink" Id="rId121" Target="https://doi.org/10.1002/ece3.9191" TargetMode="External" /><Relationship Type="http://schemas.openxmlformats.org/officeDocument/2006/relationships/hyperlink" Id="rId225" Target="https://doi.org/10.1002/pi.6664" TargetMode="External" /><Relationship Type="http://schemas.openxmlformats.org/officeDocument/2006/relationships/hyperlink" Id="rId180" Target="https://doi.org/10.1007/3-540-32139-x_4" TargetMode="External" /><Relationship Type="http://schemas.openxmlformats.org/officeDocument/2006/relationships/hyperlink" Id="rId220" Target="https://doi.org/10.1007/978-1-4613-3658-7_32" TargetMode="External" /><Relationship Type="http://schemas.openxmlformats.org/officeDocument/2006/relationships/hyperlink" Id="rId246" Target="https://doi.org/10.1007/978-3-642-11458-8_16" TargetMode="External" /><Relationship Type="http://schemas.openxmlformats.org/officeDocument/2006/relationships/hyperlink" Id="rId123" Target="https://doi.org/10.1007/978-3-642-20167-8_20" TargetMode="External" /><Relationship Type="http://schemas.openxmlformats.org/officeDocument/2006/relationships/hyperlink" Id="rId64" Target="https://doi.org/10.1007/S11783-022-1528-5" TargetMode="External" /><Relationship Type="http://schemas.openxmlformats.org/officeDocument/2006/relationships/hyperlink" Id="rId172" Target="https://doi.org/10.1007/S40034-017-0093-0" TargetMode="External" /><Relationship Type="http://schemas.openxmlformats.org/officeDocument/2006/relationships/hyperlink" Id="rId93" Target="https://doi.org/10.1007/S40891-021-00341-3" TargetMode="External" /><Relationship Type="http://schemas.openxmlformats.org/officeDocument/2006/relationships/hyperlink" Id="rId58" Target="https://doi.org/10.1007/s00170-023-12549-w" TargetMode="External" /><Relationship Type="http://schemas.openxmlformats.org/officeDocument/2006/relationships/hyperlink" Id="rId244" Target="https://doi.org/10.1007/s00253-002-1029-1" TargetMode="External" /><Relationship Type="http://schemas.openxmlformats.org/officeDocument/2006/relationships/hyperlink" Id="rId231" Target="https://doi.org/10.1007/s10570-014-0543-6" TargetMode="External" /><Relationship Type="http://schemas.openxmlformats.org/officeDocument/2006/relationships/hyperlink" Id="rId144" Target="https://doi.org/10.1007/s10570-024-05999-2" TargetMode="External" /><Relationship Type="http://schemas.openxmlformats.org/officeDocument/2006/relationships/hyperlink" Id="rId236" Target="https://doi.org/10.1007/s10584-011-0148-z" TargetMode="External" /><Relationship Type="http://schemas.openxmlformats.org/officeDocument/2006/relationships/hyperlink" Id="rId168" Target="https://doi.org/10.1007/s10584-011-0156-z" TargetMode="External" /><Relationship Type="http://schemas.openxmlformats.org/officeDocument/2006/relationships/hyperlink" Id="rId150" Target="https://doi.org/10.1007/s11104-015-2470-0" TargetMode="External" /><Relationship Type="http://schemas.openxmlformats.org/officeDocument/2006/relationships/hyperlink" Id="rId182" Target="https://doi.org/10.1007/s11270-017-3289-5" TargetMode="External" /><Relationship Type="http://schemas.openxmlformats.org/officeDocument/2006/relationships/hyperlink" Id="rId158" Target="https://doi.org/10.1007/s11273-023-10037-1" TargetMode="External" /><Relationship Type="http://schemas.openxmlformats.org/officeDocument/2006/relationships/hyperlink" Id="rId210" Target="https://doi.org/10.1007/s42452-025-06594-1" TargetMode="External" /><Relationship Type="http://schemas.openxmlformats.org/officeDocument/2006/relationships/hyperlink" Id="rId89" Target="https://doi.org/10.1016/J.CONBUILDMAT.2018.01.067" TargetMode="External" /><Relationship Type="http://schemas.openxmlformats.org/officeDocument/2006/relationships/hyperlink" Id="rId117" Target="https://doi.org/10.1016/S0142-9612(03)00083-8" TargetMode="External" /><Relationship Type="http://schemas.openxmlformats.org/officeDocument/2006/relationships/hyperlink" Id="rId85" Target="https://doi.org/10.1016/j.agee.2006.01.005" TargetMode="External" /><Relationship Type="http://schemas.openxmlformats.org/officeDocument/2006/relationships/hyperlink" Id="rId202" Target="https://doi.org/10.1016/j.agrformet.2008.07.010" TargetMode="External" /><Relationship Type="http://schemas.openxmlformats.org/officeDocument/2006/relationships/hyperlink" Id="rId254" Target="https://doi.org/10.1016/j.apenergy.2012.12.019" TargetMode="External" /><Relationship Type="http://schemas.openxmlformats.org/officeDocument/2006/relationships/hyperlink" Id="rId163" Target="https://doi.org/10.1016/j.carbpol.2006.07.010" TargetMode="External" /><Relationship Type="http://schemas.openxmlformats.org/officeDocument/2006/relationships/hyperlink" Id="rId170" Target="https://doi.org/10.1016/j.carbpol.2010.06.036" TargetMode="External" /><Relationship Type="http://schemas.openxmlformats.org/officeDocument/2006/relationships/hyperlink" Id="rId174" Target="https://doi.org/10.1016/j.coco.2020.100566" TargetMode="External" /><Relationship Type="http://schemas.openxmlformats.org/officeDocument/2006/relationships/hyperlink" Id="rId186" Target="https://doi.org/10.1016/j.compositesa.2012.04.015" TargetMode="External" /><Relationship Type="http://schemas.openxmlformats.org/officeDocument/2006/relationships/hyperlink" Id="rId102" Target="https://doi.org/10.1016/j.compositesa.2017.03.035" TargetMode="External" /><Relationship Type="http://schemas.openxmlformats.org/officeDocument/2006/relationships/hyperlink" Id="rId248" Target="https://doi.org/10.1016/j.compscitech.2021.109142" TargetMode="External" /><Relationship Type="http://schemas.openxmlformats.org/officeDocument/2006/relationships/hyperlink" Id="rId238" Target="https://doi.org/10.1016/j.ecoleng.2017.08.001" TargetMode="External" /><Relationship Type="http://schemas.openxmlformats.org/officeDocument/2006/relationships/hyperlink" Id="rId196" Target="https://doi.org/10.1016/j.geotexmem.2018.09.006" TargetMode="External" /><Relationship Type="http://schemas.openxmlformats.org/officeDocument/2006/relationships/hyperlink" Id="rId142" Target="https://doi.org/10.1016/j.hazadv.2025.100847" TargetMode="External" /><Relationship Type="http://schemas.openxmlformats.org/officeDocument/2006/relationships/hyperlink" Id="rId140" Target="https://doi.org/10.1016/j.heliyon.2023.e19360" TargetMode="External" /><Relationship Type="http://schemas.openxmlformats.org/officeDocument/2006/relationships/hyperlink" Id="rId154" Target="https://doi.org/10.1016/j.ijsolstr.2014.07.018" TargetMode="External" /><Relationship Type="http://schemas.openxmlformats.org/officeDocument/2006/relationships/hyperlink" Id="rId176" Target="https://doi.org/10.1016/j.matpr.2020.12.117" TargetMode="External" /><Relationship Type="http://schemas.openxmlformats.org/officeDocument/2006/relationships/hyperlink" Id="rId252" Target="https://doi.org/10.1016/j.mtbio.2022.100445" TargetMode="External" /><Relationship Type="http://schemas.openxmlformats.org/officeDocument/2006/relationships/hyperlink" Id="rId184" Target="https://doi.org/10.1016/j.sajce.2017.04.005" TargetMode="External" /><Relationship Type="http://schemas.openxmlformats.org/officeDocument/2006/relationships/hyperlink" Id="rId161" Target="https://doi.org/10.1016/j.sandf.2018.12.014" TargetMode="External" /><Relationship Type="http://schemas.openxmlformats.org/officeDocument/2006/relationships/hyperlink" Id="rId218" Target="https://doi.org/10.1021/jf301329v" TargetMode="External" /><Relationship Type="http://schemas.openxmlformats.org/officeDocument/2006/relationships/hyperlink" Id="rId78" Target="https://doi.org/10.1038/s41467-017-02142-7" TargetMode="External" /><Relationship Type="http://schemas.openxmlformats.org/officeDocument/2006/relationships/hyperlink" Id="rId110" Target="https://doi.org/10.1038/s41598-024-56978-3" TargetMode="External" /><Relationship Type="http://schemas.openxmlformats.org/officeDocument/2006/relationships/hyperlink" Id="rId62" Target="https://doi.org/10.1038/s41598-025-99227-x" TargetMode="External" /><Relationship Type="http://schemas.openxmlformats.org/officeDocument/2006/relationships/hyperlink" Id="rId216" Target="https://doi.org/10.1039/C7RA11157F" TargetMode="External" /><Relationship Type="http://schemas.openxmlformats.org/officeDocument/2006/relationships/hyperlink" Id="rId138" Target="https://doi.org/10.1080/01621459.1958.10501452" TargetMode="External" /><Relationship Type="http://schemas.openxmlformats.org/officeDocument/2006/relationships/hyperlink" Id="rId233" Target="https://doi.org/10.1080/15440478.2019.1623749" TargetMode="External" /><Relationship Type="http://schemas.openxmlformats.org/officeDocument/2006/relationships/hyperlink" Id="rId132" Target="https://doi.org/10.1088/1757-899X/352/1/012019" TargetMode="External" /><Relationship Type="http://schemas.openxmlformats.org/officeDocument/2006/relationships/hyperlink" Id="rId166" Target="https://doi.org/10.1111/j.1365-2621.1993.tb09387.x" TargetMode="External" /><Relationship Type="http://schemas.openxmlformats.org/officeDocument/2006/relationships/hyperlink" Id="rId105" Target="https://doi.org/10.1111/jmi.12059" TargetMode="External" /><Relationship Type="http://schemas.openxmlformats.org/officeDocument/2006/relationships/hyperlink" Id="rId178" Target="https://doi.org/10.11113/mjfas.v10n1.63" TargetMode="External" /><Relationship Type="http://schemas.openxmlformats.org/officeDocument/2006/relationships/hyperlink" Id="rId242" Target="https://doi.org/10.1139/cgj-2014-0090" TargetMode="External" /><Relationship Type="http://schemas.openxmlformats.org/officeDocument/2006/relationships/hyperlink" Id="rId250" Target="https://doi.org/10.1139/t79-003" TargetMode="External" /><Relationship Type="http://schemas.openxmlformats.org/officeDocument/2006/relationships/hyperlink" Id="rId74" Target="https://doi.org/10.1146/annurev.arplant.54.031902.134938" TargetMode="External" /><Relationship Type="http://schemas.openxmlformats.org/officeDocument/2006/relationships/hyperlink" Id="rId72" Target="https://doi.org/10.1146/annurev.py.33.090191.002121" TargetMode="External" /><Relationship Type="http://schemas.openxmlformats.org/officeDocument/2006/relationships/hyperlink" Id="rId97" Target="https://doi.org/10.1177/002199830003401503" TargetMode="External" /><Relationship Type="http://schemas.openxmlformats.org/officeDocument/2006/relationships/hyperlink" Id="rId214" Target="https://doi.org/10.1177/004051755902901003" TargetMode="External" /><Relationship Type="http://schemas.openxmlformats.org/officeDocument/2006/relationships/hyperlink" Id="rId56" Target="https://doi.org/10.1177/1558925020957969" TargetMode="External" /><Relationship Type="http://schemas.openxmlformats.org/officeDocument/2006/relationships/hyperlink" Id="rId156" Target="https://doi.org/10.1186/1471-2180-12-255" TargetMode="External" /><Relationship Type="http://schemas.openxmlformats.org/officeDocument/2006/relationships/hyperlink" Id="rId206" Target="https://doi.org/10.1201/9780203913456" TargetMode="External" /><Relationship Type="http://schemas.openxmlformats.org/officeDocument/2006/relationships/hyperlink" Id="rId134" Target="https://doi.org/10.12989/gae.2013.5.4.313" TargetMode="External" /><Relationship Type="http://schemas.openxmlformats.org/officeDocument/2006/relationships/hyperlink" Id="rId115" Target="https://doi.org/10.1351/pac198759020257" TargetMode="External" /><Relationship Type="http://schemas.openxmlformats.org/officeDocument/2006/relationships/hyperlink" Id="rId194" Target="https://doi.org/10.1515/hf.2011.016" TargetMode="External" /><Relationship Type="http://schemas.openxmlformats.org/officeDocument/2006/relationships/hyperlink" Id="rId107" Target="https://doi.org/10.1515/hfsg.1991.45.s1.21" TargetMode="External" /><Relationship Type="http://schemas.openxmlformats.org/officeDocument/2006/relationships/hyperlink" Id="rId128" Target="https://doi.org/10.15376/biores.20.1.Hubbe" TargetMode="External" /><Relationship Type="http://schemas.openxmlformats.org/officeDocument/2006/relationships/hyperlink" Id="rId136" Target="https://doi.org/10.15376/biores.9.4.6504-6513" TargetMode="External" /><Relationship Type="http://schemas.openxmlformats.org/officeDocument/2006/relationships/hyperlink" Id="rId95" Target="https://doi.org/10.15576/ASP.FC/2019.18.4.5" TargetMode="External" /><Relationship Type="http://schemas.openxmlformats.org/officeDocument/2006/relationships/hyperlink" Id="rId192" Target="https://doi.org/10.1590/S1516-14392012005000048" TargetMode="External" /><Relationship Type="http://schemas.openxmlformats.org/officeDocument/2006/relationships/hyperlink" Id="rId87" Target="https://doi.org/10.1680/jgein.17.00020" TargetMode="External" /><Relationship Type="http://schemas.openxmlformats.org/officeDocument/2006/relationships/hyperlink" Id="rId130" Target="https://doi.org/10.1890/13-0685.1" TargetMode="External" /><Relationship Type="http://schemas.openxmlformats.org/officeDocument/2006/relationships/hyperlink" Id="rId80" Target="https://doi.org/10.22533/at.ed.653182002" TargetMode="External" /><Relationship Type="http://schemas.openxmlformats.org/officeDocument/2006/relationships/hyperlink" Id="rId99" Target="https://doi.org/10.3109/07388551.2010.490938" TargetMode="External" /><Relationship Type="http://schemas.openxmlformats.org/officeDocument/2006/relationships/hyperlink" Id="rId146" Target="https://doi.org/10.3389/fpls.2015.00065" TargetMode="External" /><Relationship Type="http://schemas.openxmlformats.org/officeDocument/2006/relationships/hyperlink" Id="rId125" Target="https://doi.org/10.3389/frsus.2025.1552255" TargetMode="External" /><Relationship Type="http://schemas.openxmlformats.org/officeDocument/2006/relationships/hyperlink" Id="rId83" Target="https://doi.org/10.3390/en16093674" TargetMode="External" /><Relationship Type="http://schemas.openxmlformats.org/officeDocument/2006/relationships/hyperlink" Id="rId223" Target="https://doi.org/10.3390/f13030394" TargetMode="External" /><Relationship Type="http://schemas.openxmlformats.org/officeDocument/2006/relationships/hyperlink" Id="rId240" Target="https://doi.org/10.3390/jcs5070175" TargetMode="External" /><Relationship Type="http://schemas.openxmlformats.org/officeDocument/2006/relationships/hyperlink" Id="rId76" Target="https://doi.org/10.3390/jcs7120484" TargetMode="External" /><Relationship Type="http://schemas.openxmlformats.org/officeDocument/2006/relationships/hyperlink" Id="rId112" Target="https://doi.org/10.3390/ma15124157" TargetMode="External" /><Relationship Type="http://schemas.openxmlformats.org/officeDocument/2006/relationships/hyperlink" Id="rId66" Target="https://doi.org/10.3390/ma16113913" TargetMode="External" /><Relationship Type="http://schemas.openxmlformats.org/officeDocument/2006/relationships/hyperlink" Id="rId204" Target="https://doi.org/10.3390/ma16134849" TargetMode="External" /><Relationship Type="http://schemas.openxmlformats.org/officeDocument/2006/relationships/hyperlink" Id="rId227" Target="https://doi.org/10.3390/ma18214833" TargetMode="External" /><Relationship Type="http://schemas.openxmlformats.org/officeDocument/2006/relationships/hyperlink" Id="rId190" Target="https://doi.org/10.3390/polym14112178" TargetMode="External" /><Relationship Type="http://schemas.openxmlformats.org/officeDocument/2006/relationships/hyperlink" Id="rId212" Target="https://doi.org/10.3390/polym15173532" TargetMode="External" /><Relationship Type="http://schemas.openxmlformats.org/officeDocument/2006/relationships/hyperlink" Id="rId152" Target="https://doi.org/10.3390/pr8091048" TargetMode="External" /><Relationship Type="http://schemas.openxmlformats.org/officeDocument/2006/relationships/hyperlink" Id="rId91" Target="https://doi.org/10.4028/www.scientific.net/KEM.634.447" TargetMode="External" /><Relationship Type="http://schemas.openxmlformats.org/officeDocument/2006/relationships/hyperlink" Id="rId60" Target="https://doi.org/10.4028/www.scientific.net/KEM.925.9" TargetMode="External" /><Relationship Type="http://schemas.openxmlformats.org/officeDocument/2006/relationships/hyperlink" Id="rId70" Target="https://doi.org/10.5433/1679-0359.2017v38n4p1813" TargetMode="External" /><Relationship Type="http://schemas.openxmlformats.org/officeDocument/2006/relationships/hyperlink" Id="rId68" Target="https://hdl.handle.net/20.500.11970/100238" TargetMode="External" /><Relationship Type="http://schemas.openxmlformats.org/officeDocument/2006/relationships/hyperlink" Id="rId229" Target="https://www.ipef.br/publicacoes/scientia/nr121/cap12.pdf" TargetMode="External" /></Relationships>
</file>

<file path=word/_rels/footnotes.xml.rels><?xml version="1.0" encoding="UTF-8"?><Relationships xmlns="http://schemas.openxmlformats.org/package/2006/relationships"><Relationship Type="http://schemas.openxmlformats.org/officeDocument/2006/relationships/hyperlink" Id="rId188" Target="https://doi.org/10.1002/(SICI)1097-4628(19990307)71:12&lt;1969::AID-APP6&gt;3.0.CO;2-D" TargetMode="External" /><Relationship Type="http://schemas.openxmlformats.org/officeDocument/2006/relationships/hyperlink" Id="rId200" Target="https://doi.org/10.1002/app.10934" TargetMode="External" /><Relationship Type="http://schemas.openxmlformats.org/officeDocument/2006/relationships/hyperlink" Id="rId198" Target="https://doi.org/10.1002/app.49220" TargetMode="External" /><Relationship Type="http://schemas.openxmlformats.org/officeDocument/2006/relationships/hyperlink" Id="rId121" Target="https://doi.org/10.1002/ece3.9191" TargetMode="External" /><Relationship Type="http://schemas.openxmlformats.org/officeDocument/2006/relationships/hyperlink" Id="rId225" Target="https://doi.org/10.1002/pi.6664" TargetMode="External" /><Relationship Type="http://schemas.openxmlformats.org/officeDocument/2006/relationships/hyperlink" Id="rId180" Target="https://doi.org/10.1007/3-540-32139-x_4" TargetMode="External" /><Relationship Type="http://schemas.openxmlformats.org/officeDocument/2006/relationships/hyperlink" Id="rId220" Target="https://doi.org/10.1007/978-1-4613-3658-7_32" TargetMode="External" /><Relationship Type="http://schemas.openxmlformats.org/officeDocument/2006/relationships/hyperlink" Id="rId246" Target="https://doi.org/10.1007/978-3-642-11458-8_16" TargetMode="External" /><Relationship Type="http://schemas.openxmlformats.org/officeDocument/2006/relationships/hyperlink" Id="rId123" Target="https://doi.org/10.1007/978-3-642-20167-8_20" TargetMode="External" /><Relationship Type="http://schemas.openxmlformats.org/officeDocument/2006/relationships/hyperlink" Id="rId64" Target="https://doi.org/10.1007/S11783-022-1528-5" TargetMode="External" /><Relationship Type="http://schemas.openxmlformats.org/officeDocument/2006/relationships/hyperlink" Id="rId172" Target="https://doi.org/10.1007/S40034-017-0093-0" TargetMode="External" /><Relationship Type="http://schemas.openxmlformats.org/officeDocument/2006/relationships/hyperlink" Id="rId93" Target="https://doi.org/10.1007/S40891-021-00341-3" TargetMode="External" /><Relationship Type="http://schemas.openxmlformats.org/officeDocument/2006/relationships/hyperlink" Id="rId58" Target="https://doi.org/10.1007/s00170-023-12549-w" TargetMode="External" /><Relationship Type="http://schemas.openxmlformats.org/officeDocument/2006/relationships/hyperlink" Id="rId244" Target="https://doi.org/10.1007/s00253-002-1029-1" TargetMode="External" /><Relationship Type="http://schemas.openxmlformats.org/officeDocument/2006/relationships/hyperlink" Id="rId231" Target="https://doi.org/10.1007/s10570-014-0543-6" TargetMode="External" /><Relationship Type="http://schemas.openxmlformats.org/officeDocument/2006/relationships/hyperlink" Id="rId144" Target="https://doi.org/10.1007/s10570-024-05999-2" TargetMode="External" /><Relationship Type="http://schemas.openxmlformats.org/officeDocument/2006/relationships/hyperlink" Id="rId236" Target="https://doi.org/10.1007/s10584-011-0148-z" TargetMode="External" /><Relationship Type="http://schemas.openxmlformats.org/officeDocument/2006/relationships/hyperlink" Id="rId168" Target="https://doi.org/10.1007/s10584-011-0156-z" TargetMode="External" /><Relationship Type="http://schemas.openxmlformats.org/officeDocument/2006/relationships/hyperlink" Id="rId150" Target="https://doi.org/10.1007/s11104-015-2470-0" TargetMode="External" /><Relationship Type="http://schemas.openxmlformats.org/officeDocument/2006/relationships/hyperlink" Id="rId182" Target="https://doi.org/10.1007/s11270-017-3289-5" TargetMode="External" /><Relationship Type="http://schemas.openxmlformats.org/officeDocument/2006/relationships/hyperlink" Id="rId158" Target="https://doi.org/10.1007/s11273-023-10037-1" TargetMode="External" /><Relationship Type="http://schemas.openxmlformats.org/officeDocument/2006/relationships/hyperlink" Id="rId210" Target="https://doi.org/10.1007/s42452-025-06594-1" TargetMode="External" /><Relationship Type="http://schemas.openxmlformats.org/officeDocument/2006/relationships/hyperlink" Id="rId89" Target="https://doi.org/10.1016/J.CONBUILDMAT.2018.01.067" TargetMode="External" /><Relationship Type="http://schemas.openxmlformats.org/officeDocument/2006/relationships/hyperlink" Id="rId117" Target="https://doi.org/10.1016/S0142-9612(03)00083-8" TargetMode="External" /><Relationship Type="http://schemas.openxmlformats.org/officeDocument/2006/relationships/hyperlink" Id="rId85" Target="https://doi.org/10.1016/j.agee.2006.01.005" TargetMode="External" /><Relationship Type="http://schemas.openxmlformats.org/officeDocument/2006/relationships/hyperlink" Id="rId202" Target="https://doi.org/10.1016/j.agrformet.2008.07.010" TargetMode="External" /><Relationship Type="http://schemas.openxmlformats.org/officeDocument/2006/relationships/hyperlink" Id="rId254" Target="https://doi.org/10.1016/j.apenergy.2012.12.019" TargetMode="External" /><Relationship Type="http://schemas.openxmlformats.org/officeDocument/2006/relationships/hyperlink" Id="rId163" Target="https://doi.org/10.1016/j.carbpol.2006.07.010" TargetMode="External" /><Relationship Type="http://schemas.openxmlformats.org/officeDocument/2006/relationships/hyperlink" Id="rId170" Target="https://doi.org/10.1016/j.carbpol.2010.06.036" TargetMode="External" /><Relationship Type="http://schemas.openxmlformats.org/officeDocument/2006/relationships/hyperlink" Id="rId174" Target="https://doi.org/10.1016/j.coco.2020.100566" TargetMode="External" /><Relationship Type="http://schemas.openxmlformats.org/officeDocument/2006/relationships/hyperlink" Id="rId186" Target="https://doi.org/10.1016/j.compositesa.2012.04.015" TargetMode="External" /><Relationship Type="http://schemas.openxmlformats.org/officeDocument/2006/relationships/hyperlink" Id="rId102" Target="https://doi.org/10.1016/j.compositesa.2017.03.035" TargetMode="External" /><Relationship Type="http://schemas.openxmlformats.org/officeDocument/2006/relationships/hyperlink" Id="rId248" Target="https://doi.org/10.1016/j.compscitech.2021.109142" TargetMode="External" /><Relationship Type="http://schemas.openxmlformats.org/officeDocument/2006/relationships/hyperlink" Id="rId238" Target="https://doi.org/10.1016/j.ecoleng.2017.08.001" TargetMode="External" /><Relationship Type="http://schemas.openxmlformats.org/officeDocument/2006/relationships/hyperlink" Id="rId196" Target="https://doi.org/10.1016/j.geotexmem.2018.09.006" TargetMode="External" /><Relationship Type="http://schemas.openxmlformats.org/officeDocument/2006/relationships/hyperlink" Id="rId142" Target="https://doi.org/10.1016/j.hazadv.2025.100847" TargetMode="External" /><Relationship Type="http://schemas.openxmlformats.org/officeDocument/2006/relationships/hyperlink" Id="rId140" Target="https://doi.org/10.1016/j.heliyon.2023.e19360" TargetMode="External" /><Relationship Type="http://schemas.openxmlformats.org/officeDocument/2006/relationships/hyperlink" Id="rId154" Target="https://doi.org/10.1016/j.ijsolstr.2014.07.018" TargetMode="External" /><Relationship Type="http://schemas.openxmlformats.org/officeDocument/2006/relationships/hyperlink" Id="rId176" Target="https://doi.org/10.1016/j.matpr.2020.12.117" TargetMode="External" /><Relationship Type="http://schemas.openxmlformats.org/officeDocument/2006/relationships/hyperlink" Id="rId252" Target="https://doi.org/10.1016/j.mtbio.2022.100445" TargetMode="External" /><Relationship Type="http://schemas.openxmlformats.org/officeDocument/2006/relationships/hyperlink" Id="rId184" Target="https://doi.org/10.1016/j.sajce.2017.04.005" TargetMode="External" /><Relationship Type="http://schemas.openxmlformats.org/officeDocument/2006/relationships/hyperlink" Id="rId161" Target="https://doi.org/10.1016/j.sandf.2018.12.014" TargetMode="External" /><Relationship Type="http://schemas.openxmlformats.org/officeDocument/2006/relationships/hyperlink" Id="rId218" Target="https://doi.org/10.1021/jf301329v" TargetMode="External" /><Relationship Type="http://schemas.openxmlformats.org/officeDocument/2006/relationships/hyperlink" Id="rId78" Target="https://doi.org/10.1038/s41467-017-02142-7" TargetMode="External" /><Relationship Type="http://schemas.openxmlformats.org/officeDocument/2006/relationships/hyperlink" Id="rId110" Target="https://doi.org/10.1038/s41598-024-56978-3" TargetMode="External" /><Relationship Type="http://schemas.openxmlformats.org/officeDocument/2006/relationships/hyperlink" Id="rId62" Target="https://doi.org/10.1038/s41598-025-99227-x" TargetMode="External" /><Relationship Type="http://schemas.openxmlformats.org/officeDocument/2006/relationships/hyperlink" Id="rId216" Target="https://doi.org/10.1039/C7RA11157F" TargetMode="External" /><Relationship Type="http://schemas.openxmlformats.org/officeDocument/2006/relationships/hyperlink" Id="rId138" Target="https://doi.org/10.1080/01621459.1958.10501452" TargetMode="External" /><Relationship Type="http://schemas.openxmlformats.org/officeDocument/2006/relationships/hyperlink" Id="rId233" Target="https://doi.org/10.1080/15440478.2019.1623749" TargetMode="External" /><Relationship Type="http://schemas.openxmlformats.org/officeDocument/2006/relationships/hyperlink" Id="rId132" Target="https://doi.org/10.1088/1757-899X/352/1/012019" TargetMode="External" /><Relationship Type="http://schemas.openxmlformats.org/officeDocument/2006/relationships/hyperlink" Id="rId166" Target="https://doi.org/10.1111/j.1365-2621.1993.tb09387.x" TargetMode="External" /><Relationship Type="http://schemas.openxmlformats.org/officeDocument/2006/relationships/hyperlink" Id="rId105" Target="https://doi.org/10.1111/jmi.12059" TargetMode="External" /><Relationship Type="http://schemas.openxmlformats.org/officeDocument/2006/relationships/hyperlink" Id="rId178" Target="https://doi.org/10.11113/mjfas.v10n1.63" TargetMode="External" /><Relationship Type="http://schemas.openxmlformats.org/officeDocument/2006/relationships/hyperlink" Id="rId242" Target="https://doi.org/10.1139/cgj-2014-0090" TargetMode="External" /><Relationship Type="http://schemas.openxmlformats.org/officeDocument/2006/relationships/hyperlink" Id="rId250" Target="https://doi.org/10.1139/t79-003" TargetMode="External" /><Relationship Type="http://schemas.openxmlformats.org/officeDocument/2006/relationships/hyperlink" Id="rId74" Target="https://doi.org/10.1146/annurev.arplant.54.031902.134938" TargetMode="External" /><Relationship Type="http://schemas.openxmlformats.org/officeDocument/2006/relationships/hyperlink" Id="rId72" Target="https://doi.org/10.1146/annurev.py.33.090191.002121" TargetMode="External" /><Relationship Type="http://schemas.openxmlformats.org/officeDocument/2006/relationships/hyperlink" Id="rId97" Target="https://doi.org/10.1177/002199830003401503" TargetMode="External" /><Relationship Type="http://schemas.openxmlformats.org/officeDocument/2006/relationships/hyperlink" Id="rId214" Target="https://doi.org/10.1177/004051755902901003" TargetMode="External" /><Relationship Type="http://schemas.openxmlformats.org/officeDocument/2006/relationships/hyperlink" Id="rId56" Target="https://doi.org/10.1177/1558925020957969" TargetMode="External" /><Relationship Type="http://schemas.openxmlformats.org/officeDocument/2006/relationships/hyperlink" Id="rId156" Target="https://doi.org/10.1186/1471-2180-12-255" TargetMode="External" /><Relationship Type="http://schemas.openxmlformats.org/officeDocument/2006/relationships/hyperlink" Id="rId206" Target="https://doi.org/10.1201/9780203913456" TargetMode="External" /><Relationship Type="http://schemas.openxmlformats.org/officeDocument/2006/relationships/hyperlink" Id="rId134" Target="https://doi.org/10.12989/gae.2013.5.4.313" TargetMode="External" /><Relationship Type="http://schemas.openxmlformats.org/officeDocument/2006/relationships/hyperlink" Id="rId115" Target="https://doi.org/10.1351/pac198759020257" TargetMode="External" /><Relationship Type="http://schemas.openxmlformats.org/officeDocument/2006/relationships/hyperlink" Id="rId194" Target="https://doi.org/10.1515/hf.2011.016" TargetMode="External" /><Relationship Type="http://schemas.openxmlformats.org/officeDocument/2006/relationships/hyperlink" Id="rId107" Target="https://doi.org/10.1515/hfsg.1991.45.s1.21" TargetMode="External" /><Relationship Type="http://schemas.openxmlformats.org/officeDocument/2006/relationships/hyperlink" Id="rId128" Target="https://doi.org/10.15376/biores.20.1.Hubbe" TargetMode="External" /><Relationship Type="http://schemas.openxmlformats.org/officeDocument/2006/relationships/hyperlink" Id="rId136" Target="https://doi.org/10.15376/biores.9.4.6504-6513" TargetMode="External" /><Relationship Type="http://schemas.openxmlformats.org/officeDocument/2006/relationships/hyperlink" Id="rId95" Target="https://doi.org/10.15576/ASP.FC/2019.18.4.5" TargetMode="External" /><Relationship Type="http://schemas.openxmlformats.org/officeDocument/2006/relationships/hyperlink" Id="rId192" Target="https://doi.org/10.1590/S1516-14392012005000048" TargetMode="External" /><Relationship Type="http://schemas.openxmlformats.org/officeDocument/2006/relationships/hyperlink" Id="rId87" Target="https://doi.org/10.1680/jgein.17.00020" TargetMode="External" /><Relationship Type="http://schemas.openxmlformats.org/officeDocument/2006/relationships/hyperlink" Id="rId130" Target="https://doi.org/10.1890/13-0685.1" TargetMode="External" /><Relationship Type="http://schemas.openxmlformats.org/officeDocument/2006/relationships/hyperlink" Id="rId80" Target="https://doi.org/10.22533/at.ed.653182002" TargetMode="External" /><Relationship Type="http://schemas.openxmlformats.org/officeDocument/2006/relationships/hyperlink" Id="rId99" Target="https://doi.org/10.3109/07388551.2010.490938" TargetMode="External" /><Relationship Type="http://schemas.openxmlformats.org/officeDocument/2006/relationships/hyperlink" Id="rId146" Target="https://doi.org/10.3389/fpls.2015.00065" TargetMode="External" /><Relationship Type="http://schemas.openxmlformats.org/officeDocument/2006/relationships/hyperlink" Id="rId125" Target="https://doi.org/10.3389/frsus.2025.1552255" TargetMode="External" /><Relationship Type="http://schemas.openxmlformats.org/officeDocument/2006/relationships/hyperlink" Id="rId83" Target="https://doi.org/10.3390/en16093674" TargetMode="External" /><Relationship Type="http://schemas.openxmlformats.org/officeDocument/2006/relationships/hyperlink" Id="rId223" Target="https://doi.org/10.3390/f13030394" TargetMode="External" /><Relationship Type="http://schemas.openxmlformats.org/officeDocument/2006/relationships/hyperlink" Id="rId240" Target="https://doi.org/10.3390/jcs5070175" TargetMode="External" /><Relationship Type="http://schemas.openxmlformats.org/officeDocument/2006/relationships/hyperlink" Id="rId76" Target="https://doi.org/10.3390/jcs7120484" TargetMode="External" /><Relationship Type="http://schemas.openxmlformats.org/officeDocument/2006/relationships/hyperlink" Id="rId112" Target="https://doi.org/10.3390/ma15124157" TargetMode="External" /><Relationship Type="http://schemas.openxmlformats.org/officeDocument/2006/relationships/hyperlink" Id="rId66" Target="https://doi.org/10.3390/ma16113913" TargetMode="External" /><Relationship Type="http://schemas.openxmlformats.org/officeDocument/2006/relationships/hyperlink" Id="rId204" Target="https://doi.org/10.3390/ma16134849" TargetMode="External" /><Relationship Type="http://schemas.openxmlformats.org/officeDocument/2006/relationships/hyperlink" Id="rId227" Target="https://doi.org/10.3390/ma18214833" TargetMode="External" /><Relationship Type="http://schemas.openxmlformats.org/officeDocument/2006/relationships/hyperlink" Id="rId190" Target="https://doi.org/10.3390/polym14112178" TargetMode="External" /><Relationship Type="http://schemas.openxmlformats.org/officeDocument/2006/relationships/hyperlink" Id="rId212" Target="https://doi.org/10.3390/polym15173532" TargetMode="External" /><Relationship Type="http://schemas.openxmlformats.org/officeDocument/2006/relationships/hyperlink" Id="rId152" Target="https://doi.org/10.3390/pr8091048" TargetMode="External" /><Relationship Type="http://schemas.openxmlformats.org/officeDocument/2006/relationships/hyperlink" Id="rId91" Target="https://doi.org/10.4028/www.scientific.net/KEM.634.447" TargetMode="External" /><Relationship Type="http://schemas.openxmlformats.org/officeDocument/2006/relationships/hyperlink" Id="rId60" Target="https://doi.org/10.4028/www.scientific.net/KEM.925.9" TargetMode="External" /><Relationship Type="http://schemas.openxmlformats.org/officeDocument/2006/relationships/hyperlink" Id="rId70" Target="https://doi.org/10.5433/1679-0359.2017v38n4p1813" TargetMode="External" /><Relationship Type="http://schemas.openxmlformats.org/officeDocument/2006/relationships/hyperlink" Id="rId68" Target="https://hdl.handle.net/20.500.11970/100238" TargetMode="External" /><Relationship Type="http://schemas.openxmlformats.org/officeDocument/2006/relationships/hyperlink" Id="rId229" Target="https://www.ipef.br/publicacoes/scientia/nr121/cap12.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9</Words>
  <Characters>63</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e confiabilidade de geotêxteis lignocelulósicos sob análise de desempenho, degradação e modelagem probabilística</dc:title>
  <dc:creator>Diego Vidal</dc:creator>
  <dc:language>pt-br</dc:language>
  <cp:keywords/>
  <dcterms:created xsi:type="dcterms:W3CDTF">2025-12-04T11:15:14Z</dcterms:created>
  <dcterms:modified xsi:type="dcterms:W3CDTF">2025-12-04T11:15:14Z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